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tbl>
      <w:tblPr>
        <w:tblW w:w="9506" w:type="dxa"/>
        <w:jc w:val="center"/>
        <w:tblInd w:w="0" w:type="dxa"/>
        <w:tblLayout w:type="fixed"/>
        <w:tblCellMar>
          <w:top w:w="0" w:type="dxa"/>
          <w:left w:w="70" w:type="dxa"/>
          <w:bottom w:w="0" w:type="dxa"/>
          <w:right w:w="70" w:type="dxa"/>
        </w:tblCellMar>
      </w:tblPr>
      <w:tblGrid>
        <w:gridCol w:w="9506"/>
      </w:tblGrid>
      <w:tr>
        <w:trPr>
          <w:trHeight w:val="13939" w:hRule="atLeast"/>
        </w:trPr>
        <w:tc>
          <w:tcPr>
            <w:tcW w:w="9506" w:type="dxa"/>
            <w:tcBorders>
              <w:top w:val="single" w:sz="4" w:space="0" w:color="000000"/>
              <w:left w:val="single" w:sz="4" w:space="0" w:color="000000"/>
              <w:bottom w:val="single" w:sz="4" w:space="0" w:color="000000"/>
              <w:right w:val="single" w:sz="4" w:space="0" w:color="000000"/>
            </w:tcBorders>
          </w:tcPr>
          <w:p>
            <w:pPr>
              <w:pStyle w:val="Default"/>
              <w:snapToGrid w:val="false"/>
              <w:spacing w:lineRule="auto" w:line="276"/>
              <w:rPr>
                <w:rFonts w:ascii="Arial Narrow" w:hAnsi="Arial Narrow" w:cs="Arial Narrow"/>
                <w:sz w:val="22"/>
                <w:szCs w:val="22"/>
                <w:lang w:val="pl-PL" w:eastAsia="pl-PL" w:bidi="ar-SA"/>
              </w:rPr>
            </w:pPr>
            <w:r>
              <w:rPr>
                <w:rFonts w:cs="Arial Narrow" w:ascii="Arial Narrow" w:hAnsi="Arial Narrow"/>
                <w:sz w:val="22"/>
                <w:szCs w:val="22"/>
                <w:lang w:val="pl-PL" w:eastAsia="pl-PL" w:bidi="ar-SA"/>
              </w:rPr>
              <w:drawing>
                <wp:anchor distT="0" distB="0" distL="0" distR="114935" simplePos="0" relativeHeight="26" behindDoc="0" locked="0" layoutInCell="1" allowOverlap="1">
                  <wp:simplePos x="0" y="0"/>
                  <wp:positionH relativeFrom="column">
                    <wp:posOffset>31750</wp:posOffset>
                  </wp:positionH>
                  <wp:positionV relativeFrom="paragraph">
                    <wp:posOffset>76200</wp:posOffset>
                  </wp:positionV>
                  <wp:extent cx="1952625" cy="1818005"/>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2"/>
                          <a:srcRect l="-3266" t="-2966" r="-3266" b="-2966"/>
                          <a:stretch>
                            <a:fillRect/>
                          </a:stretch>
                        </pic:blipFill>
                        <pic:spPr bwMode="auto">
                          <a:xfrm>
                            <a:off x="0" y="0"/>
                            <a:ext cx="1952625" cy="1818005"/>
                          </a:xfrm>
                          <a:prstGeom prst="rect">
                            <a:avLst/>
                          </a:prstGeom>
                          <a:solidFill>
                            <a:srgbClr val="FFFFFF"/>
                          </a:solidFill>
                        </pic:spPr>
                      </pic:pic>
                    </a:graphicData>
                  </a:graphic>
                </wp:anchor>
              </w:drawing>
            </w:r>
          </w:p>
          <w:p>
            <w:pPr>
              <w:pStyle w:val="Default"/>
              <w:spacing w:lineRule="auto" w:line="480"/>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480"/>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480"/>
              <w:jc w:val="center"/>
              <w:rPr>
                <w:rFonts w:ascii="Times New Roman" w:hAnsi="Times New Roman" w:eastAsia="Times New Roman" w:cs="Times New Roman"/>
                <w:b/>
                <w:sz w:val="22"/>
                <w:szCs w:val="22"/>
                <w:lang w:val="pl-PL" w:eastAsia="pl-PL" w:bidi="ar-SA"/>
              </w:rPr>
            </w:pPr>
            <w:r>
              <w:rPr>
                <w:rFonts w:eastAsia="Times New Roman" w:cs="Times New Roman" w:ascii="Times New Roman" w:hAnsi="Times New Roman"/>
                <w:b/>
                <w:sz w:val="22"/>
                <w:szCs w:val="22"/>
                <w:lang w:val="pl-PL" w:eastAsia="pl-PL" w:bidi="ar-SA"/>
              </w:rPr>
            </w:r>
          </w:p>
          <w:p>
            <w:pPr>
              <w:pStyle w:val="Default"/>
              <w:spacing w:lineRule="auto" w:line="480"/>
              <w:jc w:val="center"/>
              <w:rPr/>
            </w:pPr>
            <w:r>
              <w:rPr/>
            </w:r>
          </w:p>
          <w:p>
            <w:pPr>
              <w:pStyle w:val="Default"/>
              <w:spacing w:lineRule="auto" w:line="276"/>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276"/>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276"/>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276"/>
              <w:jc w:val="center"/>
              <w:rPr>
                <w:rFonts w:ascii="Times New Roman" w:hAnsi="Times New Roman" w:cs="Times New Roman"/>
                <w:b/>
                <w:lang w:val="pl-PL" w:bidi="ar-SA"/>
              </w:rPr>
            </w:pPr>
            <w:r>
              <w:rPr>
                <w:rFonts w:cs="Times New Roman" w:ascii="Times New Roman" w:hAnsi="Times New Roman"/>
                <w:b/>
                <w:lang w:val="pl-PL" w:bidi="ar-SA"/>
              </w:rPr>
            </w:r>
          </w:p>
          <w:p>
            <w:pPr>
              <w:pStyle w:val="Default"/>
              <w:spacing w:lineRule="auto" w:line="276"/>
              <w:jc w:val="center"/>
              <w:rPr>
                <w:rFonts w:ascii="Times New Roman" w:hAnsi="Times New Roman" w:cs="Times New Roman"/>
                <w:b/>
                <w:sz w:val="21"/>
                <w:szCs w:val="21"/>
                <w:lang w:val="pl-PL" w:bidi="ar-SA"/>
              </w:rPr>
            </w:pPr>
            <w:r>
              <w:rPr>
                <w:rFonts w:cs="Times New Roman" w:ascii="Times New Roman" w:hAnsi="Times New Roman"/>
                <w:b/>
                <w:sz w:val="28"/>
                <w:szCs w:val="28"/>
                <w:lang w:val="pl-PL" w:bidi="ar-SA"/>
              </w:rPr>
              <w:t>SPECYFIKACJA WARUNKÓW ZAMÓWIENIA</w:t>
            </w:r>
          </w:p>
          <w:p>
            <w:pPr>
              <w:pStyle w:val="Default"/>
              <w:spacing w:lineRule="auto" w:line="276"/>
              <w:jc w:val="center"/>
              <w:rPr>
                <w:rFonts w:ascii="Cambria" w:hAnsi="Cambria" w:cs="Cambria"/>
                <w:b/>
                <w:bCs/>
                <w:color w:val="00000A"/>
              </w:rPr>
            </w:pPr>
            <w:r>
              <w:rPr>
                <w:rFonts w:cs="Times New Roman" w:ascii="Times New Roman" w:hAnsi="Times New Roman"/>
                <w:b/>
                <w:sz w:val="21"/>
                <w:szCs w:val="21"/>
                <w:lang w:val="pl-PL" w:bidi="ar-SA"/>
              </w:rPr>
              <w:t>(zwana dalej: SWZ)</w:t>
            </w:r>
          </w:p>
          <w:p>
            <w:pPr>
              <w:pStyle w:val="Normal"/>
              <w:spacing w:lineRule="atLeast" w:line="102" w:before="280" w:after="119"/>
              <w:jc w:val="center"/>
              <w:rPr>
                <w:rFonts w:ascii="Cambria" w:hAnsi="Cambria" w:cs="Cambria"/>
                <w:b/>
                <w:bCs/>
                <w:color w:val="00000A"/>
              </w:rPr>
            </w:pPr>
            <w:r>
              <w:rPr>
                <w:rFonts w:cs="Cambria" w:ascii="Cambria" w:hAnsi="Cambria"/>
                <w:b/>
                <w:bCs/>
                <w:color w:val="00000A"/>
              </w:rPr>
            </w:r>
          </w:p>
          <w:p>
            <w:pPr>
              <w:pStyle w:val="Normal"/>
              <w:spacing w:lineRule="auto" w:line="276" w:before="0" w:after="120"/>
              <w:jc w:val="center"/>
              <w:rPr>
                <w:rFonts w:ascii="Tahoma" w:hAnsi="Tahoma" w:eastAsia="" w:cs="Tahoma"/>
                <w:b/>
                <w:bCs/>
                <w:i w:val="false"/>
                <w:iCs w:val="false"/>
                <w:strike w:val="false"/>
                <w:dstrike w:val="false"/>
                <w:outline w:val="false"/>
                <w:shadow w:val="false"/>
                <w:kern w:val="0"/>
                <w:sz w:val="21"/>
                <w:szCs w:val="21"/>
                <w:u w:val="none"/>
                <w:shd w:fill="FFFFFF" w:val="clear"/>
                <w:em w:val="none"/>
                <w:lang w:val="pl-PL" w:eastAsia="en-US" w:bidi="ar-SA"/>
              </w:rPr>
            </w:pPr>
            <w:r>
              <w:rPr>
                <w:rFonts w:cs="Tahoma" w:ascii="Tahoma" w:hAnsi="Tahoma"/>
                <w:sz w:val="21"/>
                <w:szCs w:val="21"/>
                <w:shd w:fill="FFFFFF" w:val="clear"/>
                <w:lang w:val="pl-PL" w:bidi="ar-SA"/>
              </w:rPr>
              <w:t>Dotyczy przetargu nieograniczonego na:</w:t>
            </w:r>
          </w:p>
          <w:p>
            <w:pPr>
              <w:pStyle w:val="Normal"/>
              <w:spacing w:lineRule="auto" w:line="276" w:before="0" w:after="120"/>
              <w:jc w:val="center"/>
              <w:rPr>
                <w:rFonts w:ascii="Tahoma" w:hAnsi="Tahoma" w:eastAsia="" w:cs="Tahoma"/>
                <w:b w:val="false"/>
                <w:bCs w:val="false"/>
                <w:i w:val="false"/>
                <w:iCs w:val="false"/>
                <w:strike w:val="false"/>
                <w:dstrike w:val="false"/>
                <w:outline w:val="false"/>
                <w:shadow w:val="false"/>
                <w:kern w:val="0"/>
                <w:sz w:val="21"/>
                <w:szCs w:val="21"/>
                <w:u w:val="none"/>
                <w:shd w:fill="FFFFFF" w:val="clear"/>
                <w:em w:val="none"/>
                <w:lang w:val="pl-PL" w:eastAsia="en-US" w:bidi="ar-SA"/>
              </w:rPr>
            </w:pP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III cz.”</w:t>
            </w:r>
          </w:p>
          <w:p>
            <w:pPr>
              <w:pStyle w:val="Normal"/>
              <w:bidi w:val="0"/>
              <w:jc w:val="center"/>
              <w:rPr>
                <w:rFonts w:ascii="Tahoma" w:hAnsi="Tahoma" w:eastAsia="Tahoma" w:cs="Tahoma"/>
                <w:b/>
                <w:bCs/>
                <w:i w:val="false"/>
                <w:iCs w:val="false"/>
                <w:strike w:val="false"/>
                <w:dstrike w:val="false"/>
                <w:outline w:val="false"/>
                <w:shadow w:val="false"/>
                <w:kern w:val="0"/>
                <w:sz w:val="21"/>
                <w:szCs w:val="21"/>
                <w:u w:val="none"/>
                <w:shd w:fill="FFFFFF" w:val="clear"/>
                <w:em w:val="none"/>
                <w:lang w:val="pl-PL" w:eastAsia="en-US" w:bidi="ar-SA"/>
              </w:rPr>
            </w:pP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 xml:space="preserve"> </w:t>
            </w:r>
            <w:r>
              <w:rPr>
                <w:rFonts w:eastAsia=""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przedsięwzięcia pn.:</w:t>
            </w:r>
          </w:p>
          <w:p>
            <w:pPr>
              <w:pStyle w:val="Normal"/>
              <w:bidi w:val="0"/>
              <w:jc w:val="center"/>
              <w:rPr>
                <w:rFonts w:ascii="Tahoma" w:hAnsi="Tahoma" w:eastAsia="Tahoma" w:cs="Tahoma"/>
                <w:b/>
                <w:bCs/>
                <w:i w:val="false"/>
                <w:iCs w:val="false"/>
                <w:strike w:val="false"/>
                <w:dstrike w:val="false"/>
                <w:outline w:val="false"/>
                <w:shadow w:val="false"/>
                <w:kern w:val="0"/>
                <w:sz w:val="21"/>
                <w:szCs w:val="21"/>
                <w:u w:val="none"/>
                <w:shd w:fill="FFFFFF" w:val="clear"/>
                <w:em w:val="none"/>
                <w:lang w:val="pl-PL" w:eastAsia="en-US" w:bidi="ar-SA"/>
              </w:rPr>
            </w:pP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Transformacja cyfrowa Szpitala Powiatowego im. Tadeusza Malińskiego w Śremie sp. z o. o., </w:t>
            </w:r>
            <w:r>
              <w:rPr>
                <w:rFonts w:eastAsi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realizowanego w ramach </w:t>
            </w:r>
            <w:r>
              <w:rPr>
                <w:rStyle w:val="Strong"/>
                <w:rFonts w:eastAsia="" w:cs="Tahoma" w:ascii="Tahoma" w:hAnsi="Tahoma"/>
                <w:b/>
                <w:bCs/>
                <w:i w:val="false"/>
                <w:iCs w:val="false"/>
                <w:caps w:val="false"/>
                <w:smallCaps w:val="false"/>
                <w:strike w:val="false"/>
                <w:dstrike w:val="false"/>
                <w:outline w:val="false"/>
                <w:shadow w:val="false"/>
                <w:color w:val="1B1B1B"/>
                <w:spacing w:val="0"/>
                <w:kern w:val="0"/>
                <w:sz w:val="21"/>
                <w:szCs w:val="21"/>
                <w:u w:val="none"/>
                <w:shd w:fill="FFFFFF" w:val="clear"/>
                <w:em w:val="none"/>
                <w:lang w:val="pl-PL" w:eastAsia="en-US" w:bidi="ar-SA"/>
              </w:rPr>
              <w:t>Krajowego Planu Odbudowy i Zwiększania Odporności -</w:t>
            </w:r>
            <w:r>
              <w:rPr>
                <w:rStyle w:val="Strong"/>
                <w:rFonts w:cs="Tahoma" w:ascii="Tahoma" w:hAnsi="Tahoma"/>
                <w:b/>
                <w:i w:val="false"/>
                <w:caps w:val="false"/>
                <w:smallCaps w:val="false"/>
                <w:color w:val="1B1B1B"/>
                <w:spacing w:val="0"/>
                <w:sz w:val="21"/>
                <w:szCs w:val="21"/>
                <w:shd w:fill="FFFFFF" w:val="clear"/>
              </w:rPr>
              <w:t>Komponent D „Efektywność, dostępność i jakość systemu ochrony zdrowia” Inwestycja D1.1.2 „Przyspieszenie procesów transformacji cyfrowej ochrony zdrowia poprzez dalszy rozwój usług cyfrowych w ochronie zdrowia”</w:t>
            </w:r>
          </w:p>
          <w:p>
            <w:pPr>
              <w:pStyle w:val="Normal"/>
              <w:bidi w:val="0"/>
              <w:jc w:val="both"/>
              <w:rPr>
                <w:rFonts w:ascii="Tahoma" w:hAnsi="Tahoma" w:eastAsia="Tahoma" w:cs="Tahoma"/>
                <w:b/>
                <w:bCs/>
                <w:i w:val="false"/>
                <w:iCs w:val="false"/>
                <w:strike w:val="false"/>
                <w:dstrike w:val="false"/>
                <w:outline w:val="false"/>
                <w:shadow w:val="false"/>
                <w:kern w:val="0"/>
                <w:sz w:val="21"/>
                <w:szCs w:val="21"/>
                <w:u w:val="none"/>
                <w:shd w:fill="FFFFFF" w:val="clear"/>
                <w:em w:val="none"/>
                <w:lang w:val="pl-PL" w:eastAsia="en-US" w:bidi="ar-SA"/>
              </w:rPr>
            </w:pP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r>
          </w:p>
          <w:p>
            <w:pPr>
              <w:pStyle w:val="Normal"/>
              <w:rPr>
                <w:rFonts w:ascii="Tahoma" w:hAnsi="Tahoma"/>
                <w:b/>
                <w:bCs/>
                <w:sz w:val="20"/>
                <w:szCs w:val="20"/>
              </w:rPr>
            </w:pPr>
            <w:r>
              <w:rPr>
                <w:rFonts w:eastAsia="Tahoma" w:cs="Times New Roman" w:ascii="Tahoma" w:hAnsi="Tahoma"/>
                <w:b/>
                <w:bCs/>
                <w:sz w:val="20"/>
                <w:szCs w:val="20"/>
                <w:lang w:val="pl-PL" w:bidi="ar-SA"/>
              </w:rPr>
              <w:t>Numer sprawy: ZP/11/PN/26</w:t>
            </w:r>
          </w:p>
          <w:p>
            <w:pPr>
              <w:pStyle w:val="Normal"/>
              <w:spacing w:lineRule="auto" w:line="240" w:before="0" w:after="0"/>
              <w:ind w:firstLine="708" w:left="4956" w:right="0"/>
              <w:rPr>
                <w:rFonts w:ascii="Tahoma" w:hAnsi="Tahoma" w:eastAsia="Times New Roman" w:cs="Tahoma"/>
                <w:i w:val="false"/>
                <w:iCs w:val="false"/>
                <w:color w:val="000000"/>
                <w:sz w:val="20"/>
                <w:szCs w:val="20"/>
                <w:lang w:val="pl-PL" w:eastAsia="x-none" w:bidi="ar-SA"/>
              </w:rPr>
            </w:pPr>
            <w:r>
              <w:rPr>
                <w:rFonts w:eastAsia="Tahoma" w:cs="Tahoma" w:ascii="Tahoma" w:hAnsi="Tahoma"/>
                <w:i w:val="false"/>
                <w:iCs w:val="false"/>
                <w:sz w:val="20"/>
                <w:szCs w:val="20"/>
                <w:lang w:val="x-none" w:eastAsia="x-none"/>
              </w:rPr>
              <w:t xml:space="preserve">  </w:t>
            </w:r>
            <w:r>
              <w:rPr>
                <w:rFonts w:eastAsia="Times New Roman" w:cs="Tahoma" w:ascii="Tahoma" w:hAnsi="Tahoma"/>
                <w:i w:val="false"/>
                <w:iCs w:val="false"/>
                <w:sz w:val="20"/>
                <w:szCs w:val="20"/>
                <w:lang w:val="x-none" w:eastAsia="x-none"/>
              </w:rPr>
              <w:t>Zatwierdzam SWZ:</w:t>
            </w:r>
          </w:p>
          <w:p>
            <w:pPr>
              <w:pStyle w:val="Normal"/>
              <w:spacing w:lineRule="auto" w:line="240" w:before="0" w:after="0"/>
              <w:ind w:firstLine="708" w:left="4956" w:right="0"/>
              <w:rPr>
                <w:rFonts w:ascii="Tahoma" w:hAnsi="Tahoma" w:eastAsia="Tahoma" w:cs="Tahoma"/>
                <w:i w:val="false"/>
                <w:iCs w:val="false"/>
                <w:color w:val="000000"/>
                <w:sz w:val="20"/>
                <w:szCs w:val="20"/>
                <w:lang w:val="pl-PL" w:eastAsia="x-none" w:bidi="ar-SA"/>
              </w:rPr>
            </w:pPr>
            <w:r>
              <w:rPr>
                <w:rFonts w:eastAsia="Times New Roman" w:cs="Tahoma" w:ascii="Tahoma" w:hAnsi="Tahoma"/>
                <w:i w:val="false"/>
                <w:iCs w:val="false"/>
                <w:color w:val="000000"/>
                <w:sz w:val="20"/>
                <w:szCs w:val="20"/>
                <w:lang w:val="pl-PL" w:eastAsia="x-none" w:bidi="ar-SA"/>
              </w:rPr>
              <w:t>………………………………</w:t>
            </w:r>
            <w:r>
              <w:rPr>
                <w:rFonts w:eastAsia="Times New Roman" w:cs="Tahoma" w:ascii="Tahoma" w:hAnsi="Tahoma"/>
                <w:i w:val="false"/>
                <w:iCs w:val="false"/>
                <w:color w:val="000000"/>
                <w:sz w:val="20"/>
                <w:szCs w:val="20"/>
                <w:lang w:val="pl-PL" w:eastAsia="x-none" w:bidi="ar-SA"/>
              </w:rPr>
              <w:t>.</w:t>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ahoma" w:cs="Tahoma" w:ascii="Tahoma" w:hAnsi="Tahoma"/>
                <w:i w:val="false"/>
                <w:iCs w:val="false"/>
                <w:color w:val="000000"/>
                <w:sz w:val="20"/>
                <w:szCs w:val="20"/>
                <w:lang w:val="pl-PL" w:eastAsia="x-none" w:bidi="ar-SA"/>
              </w:rPr>
              <w:t xml:space="preserve">                                                                                                </w:t>
            </w:r>
            <w:r>
              <w:rPr>
                <w:rFonts w:eastAsia="Times New Roman" w:cs="Tahoma" w:ascii="Tahoma" w:hAnsi="Tahoma"/>
                <w:i w:val="false"/>
                <w:iCs w:val="false"/>
                <w:color w:val="000000"/>
                <w:sz w:val="20"/>
                <w:szCs w:val="20"/>
                <w:lang w:val="pl-PL" w:eastAsia="x-none" w:bidi="ar-SA"/>
              </w:rPr>
              <w:t>Prezes  Zarządu</w:t>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0"/>
                <w:szCs w:val="20"/>
                <w:lang w:val="pl-PL" w:eastAsia="x-none" w:bidi="ar-SA"/>
              </w:rPr>
            </w:pPr>
            <w:r>
              <w:rPr>
                <w:rFonts w:eastAsia="Times New Roman" w:cs="Tahoma" w:ascii="Tahoma" w:hAnsi="Tahoma"/>
                <w:b/>
                <w:bCs/>
                <w:i w:val="false"/>
                <w:iCs w:val="false"/>
                <w:color w:val="000000"/>
                <w:sz w:val="20"/>
                <w:szCs w:val="20"/>
                <w:lang w:val="pl-PL" w:eastAsia="x-none" w:bidi="ar-SA"/>
              </w:rPr>
            </w:r>
          </w:p>
          <w:p>
            <w:pPr>
              <w:pStyle w:val="Normal"/>
              <w:spacing w:lineRule="auto" w:line="240" w:before="0" w:after="0"/>
              <w:ind w:right="0"/>
              <w:rPr>
                <w:rFonts w:ascii="Tahoma" w:hAnsi="Tahoma" w:eastAsia="Times New Roman" w:cs="Tahoma"/>
                <w:b/>
                <w:bCs/>
                <w:i w:val="false"/>
                <w:iCs w:val="false"/>
                <w:color w:val="000000"/>
                <w:sz w:val="21"/>
                <w:szCs w:val="21"/>
                <w:highlight w:val="none"/>
                <w:shd w:fill="FFFFFF" w:val="clear"/>
                <w:lang w:val="pl-PL" w:eastAsia="x-none" w:bidi="ar-SA"/>
              </w:rPr>
            </w:pPr>
            <w:r>
              <w:rPr>
                <w:rFonts w:eastAsia="Times New Roman" w:cs="Tahoma" w:ascii="Tahoma" w:hAnsi="Tahoma"/>
                <w:b/>
                <w:bCs/>
                <w:i w:val="false"/>
                <w:iCs w:val="false"/>
                <w:color w:val="000000"/>
                <w:sz w:val="21"/>
                <w:szCs w:val="21"/>
                <w:shd w:fill="FFFFFF" w:val="clear"/>
                <w:lang w:val="pl-PL" w:eastAsia="x-none" w:bidi="ar-SA"/>
              </w:rPr>
            </w:r>
          </w:p>
          <w:p>
            <w:pPr>
              <w:pStyle w:val="Normal"/>
              <w:spacing w:lineRule="auto" w:line="240" w:before="0" w:after="0"/>
              <w:ind w:right="0"/>
              <w:rPr>
                <w:rFonts w:ascii="Tahoma" w:hAnsi="Tahoma" w:eastAsia="Times New Roman" w:cs="Tahoma"/>
                <w:b/>
                <w:bCs/>
                <w:i w:val="false"/>
                <w:iCs w:val="false"/>
                <w:color w:val="000000"/>
                <w:sz w:val="21"/>
                <w:szCs w:val="21"/>
                <w:highlight w:val="none"/>
                <w:shd w:fill="FFFFFF" w:val="clear"/>
                <w:lang w:val="pl-PL" w:eastAsia="x-none" w:bidi="ar-SA"/>
              </w:rPr>
            </w:pPr>
            <w:r>
              <w:rPr>
                <w:rFonts w:eastAsia="Times New Roman" w:cs="Tahoma" w:ascii="Tahoma" w:hAnsi="Tahoma"/>
                <w:b/>
                <w:bCs/>
                <w:i w:val="false"/>
                <w:iCs w:val="false"/>
                <w:color w:val="000000"/>
                <w:sz w:val="21"/>
                <w:szCs w:val="21"/>
                <w:shd w:fill="FFFFFF" w:val="clear"/>
                <w:lang w:val="pl-PL" w:eastAsia="x-none" w:bidi="ar-SA"/>
              </w:rPr>
            </w:r>
          </w:p>
          <w:p>
            <w:pPr>
              <w:pStyle w:val="Normal"/>
              <w:spacing w:before="0" w:after="160"/>
              <w:jc w:val="center"/>
              <w:rPr>
                <w:highlight w:val="none"/>
                <w:shd w:fill="FFFFFF" w:val="clear"/>
              </w:rPr>
            </w:pPr>
            <w:r>
              <w:rPr>
                <w:rFonts w:cs="Tahoma" w:ascii="Tahoma" w:hAnsi="Tahoma"/>
                <w:color w:val="000000"/>
                <w:sz w:val="21"/>
                <w:szCs w:val="21"/>
                <w:shd w:fill="FFFFFF" w:val="clear"/>
                <w:lang w:val="pl-PL" w:bidi="ar-SA"/>
              </w:rPr>
              <w:t>Śrem,14 kwietnia 2026r.</w:t>
            </w:r>
          </w:p>
          <w:p>
            <w:pPr>
              <w:pStyle w:val="Normal"/>
              <w:jc w:val="center"/>
              <w:rPr>
                <w:rFonts w:ascii="Tahoma" w:hAnsi="Tahoma" w:cs="Tahoma"/>
                <w:color w:val="000000"/>
                <w:sz w:val="21"/>
                <w:szCs w:val="21"/>
                <w:highlight w:val="none"/>
                <w:shd w:fill="FFFFFF" w:val="clear"/>
                <w:lang w:val="pl-PL" w:bidi="ar-SA"/>
              </w:rPr>
            </w:pPr>
            <w:r>
              <w:rPr>
                <w:rFonts w:cs="Tahoma" w:ascii="Tahoma" w:hAnsi="Tahoma"/>
                <w:color w:val="000000"/>
                <w:sz w:val="21"/>
                <w:szCs w:val="21"/>
                <w:shd w:fill="FFFFFF" w:val="clear"/>
                <w:lang w:val="pl-PL" w:bidi="ar-SA"/>
              </w:rPr>
            </w:r>
          </w:p>
          <w:p>
            <w:pPr>
              <w:pStyle w:val="Normal"/>
              <w:spacing w:before="0" w:after="160"/>
              <w:jc w:val="center"/>
              <w:rPr/>
            </w:pPr>
            <w:r>
              <w:rPr>
                <w:rFonts w:cs="Tahoma" w:ascii="Tahoma" w:hAnsi="Tahoma"/>
                <w:b w:val="false"/>
                <w:bCs w:val="false"/>
                <w:sz w:val="20"/>
                <w:szCs w:val="20"/>
              </w:rPr>
              <w:t>Zamówienie o wartości powyżej  kwoty określonej w przepisach wydanych na podstawie art. 3 ustawy z dnia 11 września 2019 roku – Prawo zamówień publicznych (Dz.U.  z 2024 poz. 1320  z późn. zm.)</w:t>
            </w:r>
          </w:p>
        </w:tc>
      </w:tr>
    </w:tbl>
    <w:p>
      <w:pPr>
        <w:pStyle w:val="Default"/>
        <w:spacing w:lineRule="auto" w:line="276"/>
        <w:jc w:val="left"/>
        <w:rPr>
          <w:b/>
          <w:bCs/>
          <w:color w:val="C9211E"/>
        </w:rPr>
      </w:pPr>
      <w:r>
        <w:rPr>
          <w:b/>
          <w:bCs/>
          <w:color w:val="C9211E"/>
        </w:rPr>
      </w:r>
    </w:p>
    <w:p>
      <w:pPr>
        <w:pStyle w:val="Normal"/>
        <w:pBdr>
          <w:top w:val="single" w:sz="4" w:space="1" w:color="000000"/>
          <w:left w:val="single" w:sz="4" w:space="4" w:color="000000"/>
          <w:bottom w:val="single" w:sz="4" w:space="1" w:color="000000"/>
          <w:right w:val="single" w:sz="4" w:space="0" w:color="000000"/>
        </w:pBdr>
        <w:shd w:val="clear" w:fill="D9D9D9"/>
        <w:ind w:right="-1"/>
        <w:rPr>
          <w:rFonts w:ascii="Tahoma" w:hAnsi="Tahoma" w:cs="Tahoma"/>
          <w:sz w:val="21"/>
          <w:szCs w:val="21"/>
        </w:rPr>
      </w:pPr>
      <w:r>
        <w:rPr>
          <w:rFonts w:cs="Tahoma" w:ascii="Tahoma" w:hAnsi="Tahoma"/>
          <w:b/>
          <w:bCs/>
          <w:sz w:val="20"/>
          <w:szCs w:val="20"/>
          <w:lang w:val="pl-PL" w:bidi="ar-SA"/>
        </w:rPr>
        <w:t>I. NAZWA I ADRES ZAMAWIAJĄCEGO.</w:t>
      </w:r>
    </w:p>
    <w:p>
      <w:pPr>
        <w:pStyle w:val="Normal"/>
        <w:rPr>
          <w:rFonts w:ascii="Tahoma" w:hAnsi="Tahoma" w:cs="Tahoma"/>
          <w:b/>
          <w:bCs/>
          <w:sz w:val="21"/>
          <w:szCs w:val="21"/>
        </w:rPr>
      </w:pPr>
      <w:r>
        <w:rPr>
          <w:rFonts w:cs="Tahoma" w:ascii="Tahoma" w:hAnsi="Tahoma"/>
          <w:sz w:val="21"/>
          <w:szCs w:val="21"/>
        </w:rPr>
        <w:t>Szpital Powiatowy im.Tadeusza Malińskiego w Śremie sp. z o.o. , ul. Chełmońskiego 1, 63–100 Śrem</w:t>
      </w:r>
    </w:p>
    <w:p>
      <w:pPr>
        <w:pStyle w:val="Normal"/>
        <w:rPr>
          <w:rFonts w:ascii="Tahoma" w:hAnsi="Tahoma" w:cs="Tahoma"/>
          <w:sz w:val="21"/>
          <w:szCs w:val="21"/>
        </w:rPr>
      </w:pPr>
      <w:r>
        <w:rPr>
          <w:rFonts w:cs="Tahoma" w:ascii="Tahoma" w:hAnsi="Tahoma"/>
          <w:b/>
          <w:bCs/>
          <w:sz w:val="21"/>
          <w:szCs w:val="21"/>
        </w:rPr>
        <w:t>NIP</w:t>
      </w:r>
      <w:r>
        <w:rPr>
          <w:rFonts w:cs="Tahoma" w:ascii="Tahoma" w:hAnsi="Tahoma"/>
          <w:sz w:val="21"/>
          <w:szCs w:val="21"/>
        </w:rPr>
        <w:t xml:space="preserve"> 785 1793027 </w:t>
      </w:r>
      <w:r>
        <w:rPr>
          <w:rFonts w:cs="Tahoma" w:ascii="Tahoma" w:hAnsi="Tahoma"/>
          <w:b/>
          <w:bCs/>
          <w:sz w:val="21"/>
          <w:szCs w:val="21"/>
        </w:rPr>
        <w:t>REGON</w:t>
      </w:r>
      <w:r>
        <w:rPr>
          <w:rFonts w:cs="Tahoma" w:ascii="Tahoma" w:hAnsi="Tahoma"/>
          <w:sz w:val="21"/>
          <w:szCs w:val="21"/>
        </w:rPr>
        <w:t xml:space="preserve"> 301778672</w:t>
      </w:r>
    </w:p>
    <w:p>
      <w:pPr>
        <w:pStyle w:val="Normal"/>
        <w:rPr>
          <w:rFonts w:ascii="Tahoma" w:hAnsi="Tahoma" w:cs="Tahoma"/>
          <w:sz w:val="21"/>
          <w:szCs w:val="21"/>
        </w:rPr>
      </w:pPr>
      <w:r>
        <w:rPr>
          <w:rFonts w:cs="Tahoma" w:ascii="Tahoma" w:hAnsi="Tahoma"/>
          <w:sz w:val="21"/>
          <w:szCs w:val="21"/>
        </w:rPr>
        <w:t>tel. 061 28 15 443  /fax. 061  28 35 788</w:t>
      </w:r>
    </w:p>
    <w:p>
      <w:pPr>
        <w:pStyle w:val="Normal"/>
        <w:rPr>
          <w:rStyle w:val="Hyperlink"/>
          <w:rFonts w:ascii="Tahoma" w:hAnsi="Tahoma" w:eastAsia="Calibri" w:cs="Tahoma"/>
          <w:b/>
          <w:bCs/>
          <w:color w:val="000000"/>
          <w:sz w:val="21"/>
          <w:szCs w:val="21"/>
        </w:rPr>
      </w:pPr>
      <w:r>
        <w:rPr>
          <w:rFonts w:cs="Tahoma" w:ascii="Tahoma" w:hAnsi="Tahoma"/>
          <w:sz w:val="21"/>
          <w:szCs w:val="21"/>
        </w:rPr>
        <w:t xml:space="preserve">www.szpital-srem.pl   </w:t>
      </w:r>
    </w:p>
    <w:p>
      <w:pPr>
        <w:pStyle w:val="Normal"/>
        <w:rPr>
          <w:rStyle w:val="Hyperlink"/>
          <w:rFonts w:ascii="Tahoma" w:hAnsi="Tahoma" w:eastAsia="Calibri" w:cs="Tahoma"/>
          <w:b w:val="false"/>
          <w:bCs w:val="false"/>
          <w:color w:val="000000"/>
          <w:sz w:val="21"/>
          <w:szCs w:val="21"/>
        </w:rPr>
      </w:pPr>
      <w:r>
        <w:rPr>
          <w:rStyle w:val="Hyperlink"/>
          <w:rFonts w:eastAsia="Calibri" w:cs="Tahoma" w:ascii="Tahoma" w:hAnsi="Tahoma"/>
          <w:b/>
          <w:bCs/>
          <w:color w:val="000000"/>
          <w:sz w:val="21"/>
          <w:szCs w:val="21"/>
        </w:rPr>
        <w:t>NAZWA I ADRES KOMÓRKI ORGANIZACYJNEJ PROWADZACEJ POSTĘPOWANIE:</w:t>
      </w:r>
    </w:p>
    <w:p>
      <w:pPr>
        <w:pStyle w:val="Normal"/>
        <w:rPr>
          <w:rStyle w:val="Hyperlink"/>
          <w:rFonts w:ascii="Tahoma" w:hAnsi="Tahoma" w:eastAsia="Calibri" w:cs="Tahoma"/>
          <w:b w:val="false"/>
          <w:bCs w:val="false"/>
          <w:color w:val="000000"/>
          <w:sz w:val="21"/>
          <w:szCs w:val="21"/>
        </w:rPr>
      </w:pPr>
      <w:r>
        <w:rPr>
          <w:rStyle w:val="Hyperlink"/>
          <w:rFonts w:eastAsia="Calibri" w:cs="Tahoma" w:ascii="Tahoma" w:hAnsi="Tahoma"/>
          <w:b w:val="false"/>
          <w:bCs w:val="false"/>
          <w:color w:val="000000"/>
          <w:sz w:val="21"/>
          <w:szCs w:val="21"/>
        </w:rPr>
        <w:t>Dział Zamówień Publicznych</w:t>
      </w:r>
    </w:p>
    <w:p>
      <w:pPr>
        <w:pStyle w:val="Normal"/>
        <w:rPr>
          <w:rFonts w:ascii="Tahoma" w:hAnsi="Tahoma" w:cs="Tahoma"/>
          <w:b w:val="false"/>
          <w:bCs w:val="false"/>
          <w:color w:val="000000"/>
          <w:sz w:val="21"/>
          <w:szCs w:val="21"/>
        </w:rPr>
      </w:pPr>
      <w:r>
        <w:rPr>
          <w:rStyle w:val="Hyperlink"/>
          <w:rFonts w:eastAsia="Calibri" w:cs="Tahoma" w:ascii="Tahoma" w:hAnsi="Tahoma"/>
          <w:b w:val="false"/>
          <w:bCs w:val="false"/>
          <w:color w:val="000000"/>
          <w:sz w:val="21"/>
          <w:szCs w:val="21"/>
        </w:rPr>
        <w:t>tel. 61 281 54 62 lub 502 229 692</w:t>
      </w:r>
    </w:p>
    <w:p>
      <w:pPr>
        <w:pStyle w:val="Normal"/>
        <w:spacing w:before="0" w:after="0"/>
        <w:rPr>
          <w:rStyle w:val="Hyperlink"/>
          <w:rFonts w:ascii="Tahoma" w:hAnsi="Tahoma" w:eastAsia="Tahoma" w:cs="Tahoma"/>
          <w:b/>
          <w:bCs/>
          <w:color w:val="069A2E"/>
          <w:sz w:val="21"/>
          <w:szCs w:val="21"/>
        </w:rPr>
      </w:pPr>
      <w:r>
        <w:rPr>
          <w:rFonts w:cs="Tahoma" w:ascii="Tahoma" w:hAnsi="Tahoma"/>
          <w:b w:val="false"/>
          <w:bCs w:val="false"/>
          <w:color w:val="000000"/>
          <w:sz w:val="21"/>
          <w:szCs w:val="21"/>
        </w:rPr>
        <w:t>E- mail do korespondencji:</w:t>
      </w:r>
    </w:p>
    <w:p>
      <w:pPr>
        <w:pStyle w:val="Normal"/>
        <w:rPr>
          <w:rFonts w:ascii="Tahoma" w:hAnsi="Tahoma" w:cs="Tahoma"/>
          <w:b w:val="false"/>
          <w:bCs w:val="false"/>
          <w:color w:val="000000"/>
          <w:sz w:val="21"/>
          <w:szCs w:val="21"/>
        </w:rPr>
      </w:pPr>
      <w:r>
        <w:rPr>
          <w:rStyle w:val="Hyperlink"/>
          <w:rFonts w:eastAsia="Tahoma" w:cs="Tahoma" w:ascii="Tahoma" w:hAnsi="Tahoma"/>
          <w:b/>
          <w:bCs/>
          <w:color w:val="069A2E"/>
          <w:sz w:val="21"/>
          <w:szCs w:val="21"/>
        </w:rPr>
        <w:t xml:space="preserve"> </w:t>
      </w:r>
      <w:hyperlink r:id="rId3">
        <w:r>
          <w:rPr>
            <w:rStyle w:val="Hyperlink"/>
            <w:rFonts w:eastAsia="Calibri" w:cs="Tahoma" w:ascii="Tahoma" w:hAnsi="Tahoma"/>
            <w:b/>
            <w:bCs/>
            <w:sz w:val="21"/>
            <w:szCs w:val="21"/>
          </w:rPr>
          <w:t>zaopatrzenie@szpital-srem.pl</w:t>
        </w:r>
      </w:hyperlink>
    </w:p>
    <w:p>
      <w:pPr>
        <w:pStyle w:val="Normal"/>
        <w:rPr>
          <w:highlight w:val="none"/>
          <w:shd w:fill="FFFFFF" w:val="clear"/>
        </w:rPr>
      </w:pPr>
      <w:r>
        <w:rPr>
          <w:rFonts w:cs="Tahoma" w:ascii="Tahoma" w:hAnsi="Tahoma"/>
          <w:b w:val="false"/>
          <w:bCs w:val="false"/>
          <w:color w:val="000000"/>
          <w:sz w:val="21"/>
          <w:szCs w:val="21"/>
          <w:shd w:fill="FFFFFF" w:val="clear"/>
        </w:rPr>
        <w:t>Godziny pracy: 7:00 do 14:35 od poniedziałku do piątku</w:t>
      </w:r>
    </w:p>
    <w:p>
      <w:pPr>
        <w:pStyle w:val="Normal"/>
        <w:rPr>
          <w:highlight w:val="none"/>
          <w:shd w:fill="FFFFFF" w:val="clear"/>
        </w:rPr>
      </w:pPr>
      <w:r>
        <w:rPr>
          <w:rFonts w:cs="Tahoma" w:ascii="Tahoma" w:hAnsi="Tahoma"/>
          <w:b/>
          <w:bCs/>
          <w:color w:val="000000"/>
          <w:sz w:val="21"/>
          <w:szCs w:val="21"/>
          <w:shd w:fill="FFFFFF" w:val="clear"/>
        </w:rPr>
        <w:t>ADRES STRONY INTERNETOWEJ PROWADZONEGO POSTĘPOWANIA:</w:t>
      </w:r>
    </w:p>
    <w:p>
      <w:pPr>
        <w:pStyle w:val="Normal"/>
        <w:rPr/>
      </w:pPr>
      <w:r>
        <w:rPr>
          <w:rStyle w:val="Hyperlink"/>
          <w:rFonts w:cs="Tahoma" w:ascii="Tahoma" w:hAnsi="Tahoma"/>
          <w:b/>
          <w:bCs/>
          <w:color w:val="127622"/>
          <w:sz w:val="21"/>
          <w:szCs w:val="21"/>
          <w:u w:val="none"/>
          <w:shd w:fill="FFFFFF" w:val="clear"/>
        </w:rPr>
        <w:t>https://ezamowienia.gov.pl/mp-client/tenders/ocds-148610-34b1b9bc-c215-4844-aa86-cc90052d7e99</w:t>
      </w:r>
    </w:p>
    <w:p>
      <w:pPr>
        <w:pStyle w:val="Normal"/>
        <w:rPr>
          <w:highlight w:val="none"/>
          <w:shd w:fill="FFFFFF" w:val="clear"/>
        </w:rPr>
      </w:pPr>
      <w:r>
        <w:rPr>
          <w:rFonts w:cs="Tahoma" w:ascii="Tahoma" w:hAnsi="Tahoma"/>
          <w:b/>
          <w:bCs/>
          <w:color w:val="000000"/>
          <w:sz w:val="21"/>
          <w:szCs w:val="21"/>
          <w:shd w:fill="FFFFFF" w:val="clear"/>
        </w:rPr>
        <w:t>Adres strony internetowej, na której udostępniane  będą zmiany i wyjaśnienia treści SWZ oraz inne dokumenty zamówienia bezpośrednio związane z postępowaniem o udzielenie zamówienia:</w:t>
      </w:r>
    </w:p>
    <w:p>
      <w:pPr>
        <w:pStyle w:val="Normal"/>
        <w:rPr>
          <w:highlight w:val="none"/>
          <w:shd w:fill="FFFFFF" w:val="clear"/>
        </w:rPr>
      </w:pPr>
      <w:r>
        <w:rPr>
          <w:rFonts w:cs="Tahoma" w:ascii="Tahoma" w:hAnsi="Tahoma"/>
          <w:b/>
          <w:bCs/>
          <w:color w:val="069A2E"/>
          <w:sz w:val="21"/>
          <w:szCs w:val="21"/>
          <w:shd w:fill="FFFFFF" w:val="clear"/>
        </w:rPr>
        <w:t>https://ezamowienia.gov.pl/mp-client/tenders/ocds-148610-34b1b9bc-c215-4844-aa86-cc90052d7e99</w:t>
      </w:r>
    </w:p>
    <w:p>
      <w:pPr>
        <w:pStyle w:val="Normal"/>
        <w:rPr/>
      </w:pPr>
      <w:hyperlink r:id="rId4">
        <w:r>
          <w:rPr>
            <w:rStyle w:val="Hyperlink"/>
            <w:rFonts w:eastAsia="Calibri" w:cs="Tahoma" w:ascii="Tahoma" w:hAnsi="Tahoma"/>
            <w:b/>
            <w:bCs/>
            <w:color w:val="069A2E"/>
            <w:sz w:val="21"/>
            <w:szCs w:val="21"/>
            <w:shd w:fill="FFFFFF" w:val="clear"/>
          </w:rPr>
          <w:t>https://szpital-srem.pl</w:t>
        </w:r>
      </w:hyperlink>
    </w:p>
    <w:p>
      <w:pPr>
        <w:pStyle w:val="Normal"/>
        <w:pBdr>
          <w:top w:val="single" w:sz="4" w:space="1" w:color="000000"/>
          <w:left w:val="single" w:sz="4" w:space="4" w:color="000000"/>
          <w:bottom w:val="single" w:sz="4" w:space="1" w:color="000000"/>
          <w:right w:val="single" w:sz="4" w:space="0" w:color="000000"/>
        </w:pBdr>
        <w:shd w:val="clear" w:fill="D9D9D9"/>
        <w:ind w:hanging="142" w:left="284" w:right="-1"/>
        <w:rPr>
          <w:rFonts w:ascii="Tahoma" w:hAnsi="Tahoma" w:eastAsia="Tahoma" w:cs="Tahoma"/>
          <w:color w:val="000000"/>
          <w:sz w:val="21"/>
          <w:szCs w:val="21"/>
          <w:lang w:val="pl-PL" w:bidi="ar-SA"/>
        </w:rPr>
      </w:pPr>
      <w:r>
        <w:rPr>
          <w:rFonts w:cs="Tahoma" w:ascii="Tahoma" w:hAnsi="Tahoma"/>
          <w:b/>
          <w:bCs/>
          <w:sz w:val="20"/>
          <w:szCs w:val="20"/>
          <w:lang w:val="pl-PL" w:bidi="ar-SA"/>
        </w:rPr>
        <w:t>II. TRYB UDZIELENIA ZAMÓWIENIA.</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rFonts w:ascii="Tahoma" w:hAnsi="Tahoma"/>
          <w:sz w:val="21"/>
          <w:szCs w:val="21"/>
        </w:rPr>
      </w:pPr>
      <w:r>
        <w:rPr>
          <w:rFonts w:eastAsia="Tahoma" w:cs="Tahoma" w:ascii="Tahoma" w:hAnsi="Tahoma"/>
          <w:color w:val="000000"/>
          <w:sz w:val="21"/>
          <w:szCs w:val="21"/>
          <w:lang w:val="pl-PL" w:bidi="ar-SA"/>
        </w:rPr>
        <w:t xml:space="preserve"> </w:t>
      </w:r>
      <w:r>
        <w:rPr>
          <w:rFonts w:cs="Tahoma" w:ascii="Tahoma" w:hAnsi="Tahoma"/>
          <w:color w:val="000000"/>
          <w:sz w:val="21"/>
          <w:szCs w:val="21"/>
          <w:lang w:val="pl-PL" w:bidi="ar-SA"/>
        </w:rPr>
        <w:t xml:space="preserve">Postępowanie o udzielenie zamówienia publicznego prowadzone jest na podstawie art. 132 w </w:t>
      </w:r>
      <w:r>
        <w:rPr>
          <w:rFonts w:cs="Tahoma" w:ascii="Tahoma" w:hAnsi="Tahoma"/>
          <w:color w:val="000000"/>
          <w:sz w:val="21"/>
          <w:szCs w:val="21"/>
          <w:u w:val="single"/>
          <w:lang w:val="pl-PL" w:bidi="ar-SA"/>
        </w:rPr>
        <w:t>trybie przetargu nieograniczonego</w:t>
      </w:r>
      <w:r>
        <w:rPr>
          <w:rFonts w:cs="Tahoma" w:ascii="Tahoma" w:hAnsi="Tahoma"/>
          <w:color w:val="000000"/>
          <w:sz w:val="21"/>
          <w:szCs w:val="21"/>
          <w:lang w:val="pl-PL" w:bidi="ar-SA"/>
        </w:rPr>
        <w:t>, ustawy z dnia 11 września 2019 roku, ustawy Prawo zamówień publicznych (Dz. U. z 2024r., poz.1320 z późn. zm.)oraz niniejszej Specyfikacji Warunków Zamówienia, zwaną dalej "SWZ".</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rFonts w:ascii="Tahoma" w:hAnsi="Tahoma"/>
          <w:sz w:val="21"/>
          <w:szCs w:val="21"/>
        </w:rPr>
      </w:pPr>
      <w:r>
        <w:rPr>
          <w:rFonts w:cs="Tahoma" w:ascii="Tahoma" w:hAnsi="Tahoma"/>
          <w:color w:val="000000"/>
          <w:sz w:val="21"/>
          <w:szCs w:val="21"/>
        </w:rPr>
        <w:t>Szacunkowa wartość zamówienia przekracza kwotę określoną w obwieszczeniu Prezesa Urzędu Zamówień Publicznych wydanym na podstawie art. 3 ust. 2 Ustawy Pzp</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rFonts w:ascii="Tahoma" w:hAnsi="Tahoma" w:cs="Tahoma"/>
          <w:color w:val="000000"/>
          <w:sz w:val="21"/>
          <w:szCs w:val="21"/>
        </w:rPr>
      </w:pPr>
      <w:r>
        <w:rPr>
          <w:rFonts w:cs="Tahoma" w:ascii="Tahoma" w:hAnsi="Tahoma"/>
          <w:color w:val="000000"/>
          <w:sz w:val="21"/>
          <w:szCs w:val="21"/>
        </w:rPr>
        <w:t>Zamawiający przewiduje zastosowanie tzw. procedury odwróconej, o której mowa w art. 139 ust. 1 ustawy PZP, tj. Zamawiający najpierw dokona badania i oceny ofert, a następnie dokona kwalifikacji podmiotowej Wykonawcy, którego oferta została najwyżej oceniona, w zakresie braku podstaw wykluczenia oraz spełniania warunków udziału w postępowaniu.</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rFonts w:ascii="Tahoma" w:hAnsi="Tahoma" w:cs="Tahoma"/>
          <w:color w:val="000000"/>
          <w:sz w:val="21"/>
          <w:szCs w:val="21"/>
        </w:rPr>
      </w:pPr>
      <w:r>
        <w:rPr>
          <w:rFonts w:cs="Tahoma" w:ascii="Tahoma" w:hAnsi="Tahoma"/>
          <w:b/>
          <w:bCs/>
          <w:sz w:val="21"/>
          <w:szCs w:val="21"/>
        </w:rPr>
        <w:t>Zgodnie z art. 257 Ustawy Pzp, Zamawiający przewiduje możliwość unieważnienia przedmiotowego postępowania, jeżeli środki publiczne, które Zamawiający zamierzał przeznaczyć na sfinansowanie całości lub części zamówienia, nie zostaną mu przyznane.</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pPr>
      <w:r>
        <w:rPr>
          <w:rFonts w:cs="Tahoma" w:ascii="Tahoma" w:hAnsi="Tahoma"/>
          <w:color w:val="000000"/>
          <w:sz w:val="21"/>
          <w:szCs w:val="21"/>
          <w:lang w:val="pl-PL" w:bidi="ar-SA"/>
        </w:rPr>
        <w:t xml:space="preserve">Postępowanie prowadzone jest w języku polskim w formie elektronicznej za pośrednictwem </w:t>
      </w:r>
      <w:hyperlink r:id="rId5">
        <w:r>
          <w:rPr>
            <w:rStyle w:val="Hyperlink"/>
            <w:rFonts w:cs="Tahoma" w:ascii="Tahoma" w:hAnsi="Tahoma"/>
            <w:color w:val="000000"/>
            <w:sz w:val="21"/>
            <w:szCs w:val="21"/>
            <w:lang w:val="pl-PL" w:bidi="ar-SA"/>
          </w:rPr>
          <w:t>https://ezamowienia.gov.pl/pl/</w:t>
        </w:r>
      </w:hyperlink>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sz w:val="21"/>
          <w:szCs w:val="21"/>
        </w:rPr>
      </w:pPr>
      <w:r>
        <w:rPr>
          <w:rFonts w:cs="Tahoma" w:ascii="Tahoma" w:hAnsi="Tahoma"/>
          <w:b w:val="false"/>
          <w:bCs w:val="false"/>
          <w:color w:val="000000"/>
          <w:sz w:val="21"/>
          <w:szCs w:val="21"/>
          <w:lang w:val="pl-PL" w:bidi="ar-SA"/>
        </w:rPr>
        <w:t>Do postępowania stosuje się przepisy dotyczące  dostaw.</w:t>
      </w:r>
    </w:p>
    <w:p>
      <w:pPr>
        <w:pStyle w:val="Normal"/>
        <w:widowControl/>
        <w:numPr>
          <w:ilvl w:val="0"/>
          <w:numId w:val="2"/>
        </w:numPr>
        <w:tabs>
          <w:tab w:val="clear" w:pos="708"/>
          <w:tab w:val="left" w:pos="285" w:leader="none"/>
        </w:tabs>
        <w:suppressAutoHyphens w:val="true"/>
        <w:overflowPunct w:val="false"/>
        <w:bidi w:val="0"/>
        <w:spacing w:lineRule="auto" w:line="252" w:before="0" w:after="0"/>
        <w:ind w:hanging="0" w:left="0" w:right="0"/>
        <w:jc w:val="both"/>
        <w:rPr>
          <w:sz w:val="21"/>
          <w:szCs w:val="21"/>
        </w:rPr>
      </w:pPr>
      <w:r>
        <w:rPr>
          <w:rFonts w:cs="Tahoma" w:ascii="Tahoma" w:hAnsi="Tahoma"/>
          <w:color w:val="000000"/>
          <w:sz w:val="21"/>
          <w:szCs w:val="21"/>
          <w:lang w:eastAsia="en-GB"/>
        </w:rPr>
        <w:t>Zamawiający nie prowadzi postępowania w celu zawarcia umowy ramowej</w:t>
      </w:r>
    </w:p>
    <w:p>
      <w:pPr>
        <w:pStyle w:val="Normal"/>
        <w:widowControl/>
        <w:numPr>
          <w:ilvl w:val="0"/>
          <w:numId w:val="2"/>
        </w:numPr>
        <w:tabs>
          <w:tab w:val="clear" w:pos="708"/>
          <w:tab w:val="left" w:pos="285" w:leader="none"/>
        </w:tabs>
        <w:suppressAutoHyphens w:val="true"/>
        <w:overflowPunct w:val="false"/>
        <w:bidi w:val="0"/>
        <w:spacing w:lineRule="auto" w:line="252" w:before="0" w:after="0"/>
        <w:ind w:hanging="0" w:left="0" w:right="0"/>
        <w:jc w:val="both"/>
        <w:rPr>
          <w:sz w:val="21"/>
          <w:szCs w:val="21"/>
        </w:rPr>
      </w:pPr>
      <w:r>
        <w:rPr>
          <w:rFonts w:cs="Tahoma" w:ascii="Tahoma" w:hAnsi="Tahoma"/>
          <w:color w:val="000000"/>
          <w:sz w:val="21"/>
          <w:szCs w:val="21"/>
        </w:rPr>
        <w:t>Zamawiający nie przewiduje aukcji elektronicznej</w:t>
      </w:r>
    </w:p>
    <w:p>
      <w:pPr>
        <w:pStyle w:val="Normal"/>
        <w:widowControl/>
        <w:numPr>
          <w:ilvl w:val="0"/>
          <w:numId w:val="2"/>
        </w:numPr>
        <w:tabs>
          <w:tab w:val="clear" w:pos="708"/>
          <w:tab w:val="left" w:pos="285" w:leader="none"/>
        </w:tabs>
        <w:suppressAutoHyphens w:val="true"/>
        <w:overflowPunct w:val="false"/>
        <w:bidi w:val="0"/>
        <w:spacing w:lineRule="auto" w:line="252" w:before="0" w:after="0"/>
        <w:ind w:hanging="0" w:left="0" w:right="0"/>
        <w:jc w:val="both"/>
        <w:rPr>
          <w:sz w:val="21"/>
          <w:szCs w:val="21"/>
        </w:rPr>
      </w:pPr>
      <w:r>
        <w:rPr>
          <w:rFonts w:cs="Tahoma" w:ascii="Tahoma" w:hAnsi="Tahoma"/>
          <w:color w:val="000000"/>
          <w:sz w:val="21"/>
          <w:szCs w:val="21"/>
          <w:lang w:eastAsia="en-GB"/>
        </w:rPr>
        <w:t>Zamawiający informuje, że nie przewiduje możliwości udzielania zaliczek na poczet wykonania zamówienia.</w:t>
      </w:r>
    </w:p>
    <w:p>
      <w:pPr>
        <w:pStyle w:val="Normal"/>
        <w:widowControl/>
        <w:numPr>
          <w:ilvl w:val="0"/>
          <w:numId w:val="2"/>
        </w:numPr>
        <w:tabs>
          <w:tab w:val="clear" w:pos="708"/>
          <w:tab w:val="left" w:pos="285" w:leader="none"/>
          <w:tab w:val="left" w:pos="390" w:leader="none"/>
        </w:tabs>
        <w:suppressAutoHyphens w:val="true"/>
        <w:overflowPunct w:val="false"/>
        <w:bidi w:val="0"/>
        <w:spacing w:lineRule="auto" w:line="252" w:before="0" w:after="0"/>
        <w:ind w:hanging="0" w:left="0" w:right="0"/>
        <w:jc w:val="both"/>
        <w:rPr>
          <w:sz w:val="21"/>
          <w:szCs w:val="21"/>
        </w:rPr>
      </w:pPr>
      <w:r>
        <w:rPr>
          <w:rFonts w:cs="Tahoma" w:ascii="Tahoma" w:hAnsi="Tahoma"/>
          <w:b/>
          <w:bCs/>
          <w:color w:val="000000"/>
          <w:sz w:val="21"/>
          <w:szCs w:val="21"/>
          <w:shd w:fill="FFFFFF" w:val="clear"/>
          <w:lang w:bidi="ne-IN"/>
        </w:rPr>
        <w:t>Zamawiający dopuszcza składania ofert częściowych 1-2 pakiety/części</w:t>
      </w:r>
    </w:p>
    <w:p>
      <w:pPr>
        <w:pStyle w:val="Normal"/>
        <w:widowControl/>
        <w:numPr>
          <w:ilvl w:val="0"/>
          <w:numId w:val="2"/>
        </w:numPr>
        <w:tabs>
          <w:tab w:val="clear" w:pos="708"/>
          <w:tab w:val="left" w:pos="285" w:leader="none"/>
          <w:tab w:val="left" w:pos="345" w:leader="none"/>
        </w:tabs>
        <w:suppressAutoHyphens w:val="true"/>
        <w:overflowPunct w:val="false"/>
        <w:bidi w:val="0"/>
        <w:spacing w:lineRule="auto" w:line="252" w:before="0" w:after="0"/>
        <w:ind w:hanging="0" w:left="0" w:right="0"/>
        <w:jc w:val="both"/>
        <w:rPr>
          <w:sz w:val="21"/>
          <w:szCs w:val="21"/>
        </w:rPr>
      </w:pPr>
      <w:r>
        <w:rPr>
          <w:rFonts w:eastAsia="Tahoma" w:cs="Tahoma" w:ascii="Tahoma" w:hAnsi="Tahoma"/>
          <w:color w:val="000000"/>
          <w:sz w:val="21"/>
          <w:szCs w:val="21"/>
          <w:shd w:fill="FFFFFF" w:val="clear"/>
        </w:rPr>
        <w:t xml:space="preserve"> </w:t>
      </w:r>
      <w:r>
        <w:rPr>
          <w:rFonts w:cs="Tahoma" w:ascii="Tahoma" w:hAnsi="Tahoma"/>
          <w:color w:val="000000"/>
          <w:sz w:val="21"/>
          <w:szCs w:val="21"/>
          <w:shd w:fill="FFFFFF" w:val="clear"/>
        </w:rPr>
        <w:t>Zamawiający nie dopuszcza składania ofert wariantowych .</w:t>
      </w:r>
    </w:p>
    <w:p>
      <w:pPr>
        <w:pStyle w:val="Normal"/>
        <w:widowControl/>
        <w:numPr>
          <w:ilvl w:val="0"/>
          <w:numId w:val="2"/>
        </w:numPr>
        <w:tabs>
          <w:tab w:val="clear" w:pos="708"/>
          <w:tab w:val="left" w:pos="390" w:leader="none"/>
          <w:tab w:val="left" w:pos="450" w:leader="none"/>
        </w:tabs>
        <w:suppressAutoHyphens w:val="true"/>
        <w:overflowPunct w:val="false"/>
        <w:bidi w:val="0"/>
        <w:spacing w:lineRule="auto" w:line="252" w:before="0" w:after="0"/>
        <w:ind w:hanging="0" w:left="0" w:right="0"/>
        <w:jc w:val="both"/>
        <w:rPr>
          <w:sz w:val="21"/>
          <w:szCs w:val="21"/>
        </w:rPr>
      </w:pPr>
      <w:r>
        <w:rPr>
          <w:rFonts w:cs="Tahoma" w:ascii="Tahoma" w:hAnsi="Tahoma"/>
          <w:color w:val="000000"/>
          <w:sz w:val="21"/>
          <w:szCs w:val="21"/>
        </w:rPr>
        <w:t xml:space="preserve"> </w:t>
      </w:r>
      <w:r>
        <w:rPr>
          <w:rFonts w:cs="Tahoma" w:ascii="Tahoma" w:hAnsi="Tahoma"/>
          <w:color w:val="000000"/>
          <w:sz w:val="21"/>
          <w:szCs w:val="21"/>
        </w:rPr>
        <w:t>Zamawiający nie przewiduje złożenia oferty w postaci katalogów elektronicznych.</w:t>
      </w:r>
    </w:p>
    <w:p>
      <w:pPr>
        <w:pStyle w:val="Normal"/>
        <w:widowControl/>
        <w:numPr>
          <w:ilvl w:val="0"/>
          <w:numId w:val="2"/>
        </w:numPr>
        <w:tabs>
          <w:tab w:val="clear" w:pos="708"/>
          <w:tab w:val="left" w:pos="285" w:leader="none"/>
          <w:tab w:val="left" w:pos="345" w:leader="none"/>
        </w:tabs>
        <w:suppressAutoHyphens w:val="true"/>
        <w:overflowPunct w:val="false"/>
        <w:bidi w:val="0"/>
        <w:spacing w:lineRule="auto" w:line="252" w:before="0" w:after="0"/>
        <w:ind w:hanging="0" w:left="0" w:right="0"/>
        <w:jc w:val="both"/>
        <w:rPr>
          <w:sz w:val="21"/>
          <w:szCs w:val="21"/>
        </w:rPr>
      </w:pPr>
      <w:r>
        <w:rPr>
          <w:rFonts w:cs="Tahoma" w:ascii="Tahoma" w:hAnsi="Tahoma"/>
          <w:color w:val="000000"/>
          <w:sz w:val="21"/>
          <w:szCs w:val="21"/>
          <w:shd w:fill="FFFFFF" w:val="clear"/>
        </w:rPr>
        <w:t xml:space="preserve"> </w:t>
      </w:r>
      <w:r>
        <w:rPr>
          <w:rFonts w:cs="Tahoma" w:ascii="Tahoma" w:hAnsi="Tahoma"/>
          <w:color w:val="000000"/>
          <w:sz w:val="21"/>
          <w:szCs w:val="21"/>
          <w:shd w:fill="FFFFFF" w:val="clear"/>
        </w:rPr>
        <w:t>Zamawiający nie zastrzega możliwości ubiegania się o udzielenie zamówienia wyłącznie przez wykonawców, o których mowa w art. 94 p.z.p.</w:t>
      </w:r>
    </w:p>
    <w:p>
      <w:pPr>
        <w:pStyle w:val="Normal"/>
        <w:widowControl/>
        <w:numPr>
          <w:ilvl w:val="0"/>
          <w:numId w:val="2"/>
        </w:numPr>
        <w:tabs>
          <w:tab w:val="clear" w:pos="708"/>
          <w:tab w:val="left" w:pos="285" w:leader="none"/>
        </w:tabs>
        <w:suppressAutoHyphens w:val="true"/>
        <w:overflowPunct w:val="false"/>
        <w:bidi w:val="0"/>
        <w:spacing w:lineRule="auto" w:line="252" w:before="0" w:after="0"/>
        <w:ind w:hanging="0" w:left="0" w:right="0"/>
        <w:jc w:val="both"/>
        <w:rPr>
          <w:sz w:val="21"/>
          <w:szCs w:val="21"/>
        </w:rPr>
      </w:pPr>
      <w:r>
        <w:rPr>
          <w:rFonts w:eastAsia="Tahoma" w:cs="Tahoma" w:ascii="Tahoma" w:hAnsi="Tahoma"/>
          <w:color w:val="000000"/>
          <w:spacing w:val="-1"/>
          <w:sz w:val="21"/>
          <w:szCs w:val="21"/>
          <w:shd w:fill="FFFFFF" w:val="clear"/>
        </w:rPr>
        <w:t xml:space="preserve"> </w:t>
      </w:r>
      <w:r>
        <w:rPr>
          <w:rFonts w:cs="Tahoma" w:ascii="Tahoma" w:hAnsi="Tahoma"/>
          <w:color w:val="000000"/>
          <w:sz w:val="21"/>
          <w:szCs w:val="21"/>
          <w:shd w:fill="FFFFFF" w:val="clear"/>
        </w:rPr>
        <w:t>Zamawiający nie określa dodatkowych wymagań związanych z zatrudnianiem osób, o których mowa w art. 96 p.z.p.</w:t>
      </w:r>
    </w:p>
    <w:p>
      <w:pPr>
        <w:pStyle w:val="Normal"/>
        <w:widowControl/>
        <w:numPr>
          <w:ilvl w:val="0"/>
          <w:numId w:val="2"/>
        </w:numPr>
        <w:tabs>
          <w:tab w:val="clear" w:pos="708"/>
          <w:tab w:val="left" w:pos="285" w:leader="none"/>
        </w:tabs>
        <w:suppressAutoHyphens w:val="true"/>
        <w:overflowPunct w:val="false"/>
        <w:bidi w:val="0"/>
        <w:spacing w:lineRule="auto" w:line="252" w:before="0" w:after="0"/>
        <w:ind w:hanging="0" w:left="0" w:right="0"/>
        <w:jc w:val="both"/>
        <w:rPr>
          <w:sz w:val="21"/>
          <w:szCs w:val="21"/>
        </w:rPr>
      </w:pPr>
      <w:r>
        <w:rPr>
          <w:rFonts w:cs="Tahoma" w:ascii="Tahoma" w:hAnsi="Tahoma"/>
          <w:b w:val="false"/>
          <w:bCs w:val="false"/>
          <w:color w:val="000000"/>
          <w:sz w:val="21"/>
          <w:szCs w:val="21"/>
          <w:shd w:fill="FFFFFF" w:val="clear"/>
          <w:lang w:val="pl-PL" w:bidi="ar-SA"/>
        </w:rPr>
        <w:t>W sprawach nieuregulowanych w SWZ mają zastosowania przepisy ustawy z 11 września 2019 r. Prawo zamówień publicznych (Dz.U. z 2024 r. poz. 1320 z późn. zm.)</w:t>
      </w:r>
    </w:p>
    <w:p>
      <w:pPr>
        <w:pStyle w:val="Normal"/>
        <w:widowControl/>
        <w:numPr>
          <w:ilvl w:val="0"/>
          <w:numId w:val="2"/>
        </w:numPr>
        <w:tabs>
          <w:tab w:val="clear" w:pos="708"/>
          <w:tab w:val="left" w:pos="285" w:leader="none"/>
        </w:tabs>
        <w:suppressAutoHyphens w:val="true"/>
        <w:overflowPunct w:val="false"/>
        <w:bidi w:val="0"/>
        <w:spacing w:lineRule="auto" w:line="240" w:before="0" w:after="0"/>
        <w:ind w:hanging="0" w:left="0" w:right="0"/>
        <w:jc w:val="both"/>
        <w:rPr>
          <w:highlight w:val="none"/>
          <w:shd w:fill="FFFFFF" w:val="clear"/>
        </w:rPr>
      </w:pPr>
      <w:r>
        <w:rPr>
          <w:rFonts w:ascii="Tahoma" w:hAnsi="Tahoma"/>
          <w:color w:val="000000"/>
          <w:sz w:val="21"/>
          <w:szCs w:val="21"/>
          <w:shd w:fill="FFFFFF" w:val="clear"/>
        </w:rPr>
        <w:t xml:space="preserve">Zamawiający zastosował skrócony termin składania ofert na podstawie art. 138 ust. 2 pkt 2 Pzp. </w:t>
      </w:r>
    </w:p>
    <w:p>
      <w:pPr>
        <w:pStyle w:val="Default"/>
        <w:widowControl/>
        <w:numPr>
          <w:ilvl w:val="0"/>
          <w:numId w:val="0"/>
        </w:numPr>
        <w:tabs>
          <w:tab w:val="clear" w:pos="708"/>
          <w:tab w:val="left" w:pos="285" w:leader="none"/>
        </w:tabs>
        <w:suppressAutoHyphens w:val="true"/>
        <w:overflowPunct w:val="false"/>
        <w:bidi w:val="0"/>
        <w:spacing w:lineRule="auto" w:line="240" w:before="0" w:after="0"/>
        <w:ind w:hanging="0" w:left="0" w:right="0"/>
        <w:jc w:val="both"/>
        <w:rPr>
          <w:highlight w:val="none"/>
          <w:shd w:fill="FFFFFF" w:val="clear"/>
        </w:rPr>
      </w:pPr>
      <w:r>
        <w:rPr>
          <w:rFonts w:cs="Tahoma" w:ascii="Tahoma" w:hAnsi="Tahoma"/>
          <w:b/>
          <w:bCs/>
          <w:strike w:val="false"/>
          <w:dstrike w:val="false"/>
          <w:color w:val="000000"/>
          <w:sz w:val="21"/>
          <w:szCs w:val="21"/>
          <w:u w:val="none"/>
          <w:shd w:fill="FFFFFF" w:val="clear"/>
        </w:rPr>
        <w:t xml:space="preserve">UZASADNIENIE SKRÓCENIA TERMINU: </w:t>
      </w:r>
    </w:p>
    <w:p>
      <w:pPr>
        <w:pStyle w:val="Default"/>
        <w:spacing w:lineRule="auto" w:line="240"/>
        <w:jc w:val="left"/>
        <w:rPr>
          <w:strike w:val="false"/>
          <w:dstrike w:val="false"/>
          <w:sz w:val="22"/>
          <w:u w:val="none"/>
        </w:rPr>
      </w:pPr>
      <w:r>
        <w:rPr>
          <w:rFonts w:ascii="Tahoma" w:hAnsi="Tahoma"/>
          <w:sz w:val="21"/>
          <w:szCs w:val="21"/>
          <w:shd w:fill="FFFFFF" w:val="clear"/>
        </w:rPr>
        <w:t xml:space="preserve">Przepis art. 138 ust. 1 PZP określa minimalny termin składania ofert w postępowaniu prowadzonym w trybie przetargu nieograniczonego. Termin ten nie może być krótszy niż 35 dni od dnia przekazania ogłoszenia o zamówieniu do Urzędu Publikacji UE. Termin 35 dni został zastosowany w uprzednio </w:t>
      </w:r>
      <w:r>
        <w:rPr>
          <w:rFonts w:ascii="Tahoma" w:hAnsi="Tahoma"/>
          <w:sz w:val="21"/>
          <w:szCs w:val="21"/>
        </w:rPr>
        <w:t xml:space="preserve">przeprowadzonym  przetargu nieograniczonym ogłoszonym dnia 5 lutego 2026 roku pod  numerem </w:t>
      </w:r>
      <w:r>
        <w:rPr>
          <w:rFonts w:ascii="Tahoma" w:hAnsi="Tahoma"/>
          <w:b/>
          <w:bCs/>
          <w:sz w:val="21"/>
          <w:szCs w:val="21"/>
        </w:rPr>
        <w:t xml:space="preserve">S/2026 25 -83149 – znak sprawy ZP/5/PN/26 </w:t>
      </w:r>
      <w:r>
        <w:rPr>
          <w:rFonts w:ascii="Tahoma" w:hAnsi="Tahoma"/>
          <w:sz w:val="21"/>
          <w:szCs w:val="21"/>
        </w:rPr>
        <w:t xml:space="preserve">na ten sam przedmiot zamówienia w którym dnia 16 marca 2026 roku do godziny 9:00 nie złożono żadnej oferty. Dnia 19.03.2026 Zamawiający unieważnił postępowania w zakresie pakietu nr 1 oraz 2 stanowiącym przedmiot niniejszego zamówienia. Dnia 23 marca 2026 roku ponownie ogłoszono przetarg nieograniczony na ten sam przedmiot zamówienia pod numerem </w:t>
      </w:r>
      <w:r>
        <w:rPr>
          <w:rFonts w:ascii="Tahoma" w:hAnsi="Tahoma"/>
          <w:b/>
          <w:bCs/>
          <w:sz w:val="21"/>
          <w:szCs w:val="21"/>
        </w:rPr>
        <w:t>S/2026 57-196286 – znak sprawy ZP/9/PN/26</w:t>
      </w:r>
      <w:r>
        <w:rPr>
          <w:rFonts w:ascii="Tahoma" w:hAnsi="Tahoma"/>
          <w:sz w:val="21"/>
          <w:szCs w:val="21"/>
        </w:rPr>
        <w:t>. Dnia 08.04.2026 Zamawiający unieważnił postępowanie stanowiące przedmiot niniejszego zamówienia ze względu na przewyższającą</w:t>
      </w:r>
      <w:r>
        <w:rPr>
          <w:rFonts w:cs="Tahoma" w:ascii="Tahoma" w:hAnsi="Tahoma"/>
          <w:b w:val="false"/>
          <w:bCs w:val="false"/>
          <w:color w:val="000000"/>
          <w:sz w:val="21"/>
          <w:szCs w:val="21"/>
        </w:rPr>
        <w:t xml:space="preserve"> kwotę, którą Zamawiający zamierzał przeznaczyć na sfinansowanie zamówienia w zakresie pakietu nr 1 oraz ze względu na brak ofert w zakresie pakietu nr 2. </w:t>
      </w:r>
      <w:r>
        <w:rPr>
          <w:rFonts w:ascii="Tahoma" w:hAnsi="Tahoma"/>
          <w:sz w:val="21"/>
          <w:szCs w:val="21"/>
        </w:rPr>
        <w:t xml:space="preserve"> U</w:t>
      </w:r>
      <w:r>
        <w:rPr>
          <w:rFonts w:ascii="Tahoma" w:hAnsi="Tahoma"/>
          <w:b w:val="false"/>
          <w:i w:val="false"/>
          <w:caps w:val="false"/>
          <w:smallCaps w:val="false"/>
          <w:color w:val="0A0A0A"/>
          <w:spacing w:val="0"/>
          <w:sz w:val="21"/>
          <w:szCs w:val="21"/>
        </w:rPr>
        <w:t>nieważnienie postępowania</w:t>
      </w:r>
      <w:r>
        <w:rPr>
          <w:rFonts w:ascii="Tahoma" w:hAnsi="Tahoma"/>
          <w:sz w:val="21"/>
          <w:szCs w:val="21"/>
        </w:rPr>
        <w:t xml:space="preserve"> </w:t>
      </w:r>
      <w:r>
        <w:rPr>
          <w:rFonts w:ascii="Tahoma" w:hAnsi="Tahoma"/>
          <w:b w:val="false"/>
          <w:i w:val="false"/>
          <w:caps w:val="false"/>
          <w:smallCaps w:val="false"/>
          <w:color w:val="0A0A0A"/>
          <w:spacing w:val="0"/>
          <w:sz w:val="21"/>
          <w:szCs w:val="21"/>
        </w:rPr>
        <w:t xml:space="preserve">powoduje, że termin wykonania zamówienia jest zagrożony i </w:t>
      </w:r>
      <w:r>
        <w:rPr>
          <w:rFonts w:ascii="Tahoma" w:hAnsi="Tahoma"/>
          <w:b w:val="false"/>
          <w:i w:val="false"/>
          <w:caps w:val="false"/>
          <w:smallCaps w:val="false"/>
          <w:strike w:val="false"/>
          <w:dstrike w:val="false"/>
          <w:color w:val="0A0A0A"/>
          <w:spacing w:val="0"/>
          <w:sz w:val="21"/>
          <w:szCs w:val="21"/>
          <w:u w:val="none"/>
        </w:rPr>
        <w:t>zachodzi pilna potrzeba udzielenia zamówienia i skrócenie terminu składania ofert.</w:t>
      </w:r>
    </w:p>
    <w:p>
      <w:pPr>
        <w:pStyle w:val="Default"/>
        <w:jc w:val="left"/>
        <w:rPr>
          <w:strike w:val="false"/>
          <w:dstrike w:val="false"/>
          <w:sz w:val="22"/>
          <w:u w:val="none"/>
        </w:rPr>
      </w:pPr>
      <w:r>
        <w:rPr>
          <w:rFonts w:ascii="Tahoma" w:hAnsi="Tahoma"/>
          <w:sz w:val="21"/>
          <w:szCs w:val="21"/>
        </w:rPr>
        <w:t>Zgodnie z art. 138 ust. 2 PZP, Zamawiający może skrócić termin składania ofert w stosunku do terminu ustalonego zgodnie z art. 138 ust. 1 PZP. Termin ten nie może być jednak krótszy niż 15 dni od dnia przekazania ogłoszenia o zamówieniu Urzędowi Publikacji UE. Możliwość taka występuje w następujących przypadkach:</w:t>
      </w:r>
    </w:p>
    <w:p>
      <w:pPr>
        <w:pStyle w:val="Default"/>
        <w:jc w:val="left"/>
        <w:rPr>
          <w:strike w:val="false"/>
          <w:dstrike w:val="false"/>
          <w:sz w:val="22"/>
          <w:u w:val="none"/>
        </w:rPr>
      </w:pPr>
      <w:r>
        <w:rPr>
          <w:rFonts w:ascii="Tahoma" w:hAnsi="Tahoma"/>
          <w:sz w:val="21"/>
          <w:szCs w:val="21"/>
        </w:rPr>
        <w:t xml:space="preserve"> </w:t>
      </w:r>
      <w:r>
        <w:rPr>
          <w:rFonts w:ascii="Tahoma" w:hAnsi="Tahoma"/>
          <w:sz w:val="21"/>
          <w:szCs w:val="21"/>
        </w:rPr>
        <w:t xml:space="preserve">1) opublikowania wstępnego ogłoszenia informacyjnego, o ile zawierało ono wszystkie informacje wymagane dla ogłoszenia o zamówieniu, w zakresie, w </w:t>
      </w:r>
      <w:r>
        <w:rPr>
          <w:rFonts w:ascii="Tahoma" w:hAnsi="Tahoma"/>
          <w:strike w:val="false"/>
          <w:dstrike w:val="false"/>
          <w:sz w:val="21"/>
          <w:szCs w:val="21"/>
          <w:u w:val="none"/>
        </w:rPr>
        <w:t xml:space="preserve">jakim były one dostępne w chwili publikacji wstępnego ogłoszenia informacyjnego, które zostało przekazane do publikacji Urzędowi Publikacji UE lub zamieszczone na stronie internetowej zamawiającego na co najmniej 35 dni i nie więcej niż 12 miesięcy przed dniem przekazania ogłoszenia o zamówieniu Urzędowi Publikacji UE; </w:t>
      </w:r>
    </w:p>
    <w:p>
      <w:pPr>
        <w:pStyle w:val="Default"/>
        <w:jc w:val="left"/>
        <w:rPr>
          <w:strike w:val="false"/>
          <w:dstrike w:val="false"/>
          <w:sz w:val="22"/>
          <w:u w:val="none"/>
        </w:rPr>
      </w:pPr>
      <w:r>
        <w:rPr>
          <w:rFonts w:ascii="Tahoma" w:hAnsi="Tahoma"/>
          <w:strike w:val="false"/>
          <w:dstrike w:val="false"/>
          <w:sz w:val="21"/>
          <w:szCs w:val="21"/>
          <w:u w:val="none"/>
        </w:rPr>
        <w:t xml:space="preserve">2) jeżeli zachodzi pilna potrzeba udzielenia zamówienia i skrócenie terminu składania ofert jest uzasadnione. </w:t>
      </w:r>
    </w:p>
    <w:p>
      <w:pPr>
        <w:pStyle w:val="Default"/>
        <w:jc w:val="left"/>
        <w:rPr>
          <w:strike w:val="false"/>
          <w:dstrike w:val="false"/>
          <w:sz w:val="22"/>
          <w:u w:val="none"/>
        </w:rPr>
      </w:pPr>
      <w:r>
        <w:rPr>
          <w:rFonts w:ascii="Tahoma" w:hAnsi="Tahoma"/>
          <w:strike w:val="false"/>
          <w:dstrike w:val="false"/>
          <w:sz w:val="21"/>
          <w:szCs w:val="21"/>
          <w:u w:val="none"/>
        </w:rPr>
        <w:t xml:space="preserve">Zważywszy na fakt, że nie są spełnione warunku skrócenia, o których mowa w art. 138 ust. 2 pkt 1) PZP, jedyną możliwością skrócenia jest wykazanie pilnej potrzeby udzielania zamówienia. Możliwość skrócenia terminu z uwagi na pilną potrzebę udzielenia zamówienia dotyczy – jak wskazano w uzasadnieniu do nowelizacji z 2016 r. do poprzednio obowiązującej PZP2004 (ustawa z 22.6.2016 r. o zmianie ustawy – Prawo zamówień publicznych oraz niektórych innych ustaw, Dz.U. z 2016 r. poz. 1020 ze zm.) – tzw. stanu pilnej konieczności, tj. sytuacji, w której konieczne jest przyspieszenie procedury z uzasadnionych przyczyn, w tym m.in. wynikających ze zwykłych błędów ludzkich – zob. Uzasadnienie do rządowego projektu ustawy o zmianie ustawy – Prawo zamówień publicznych oraz niektórych innych ustaw, Druk sejmowy Nr 366, Sejm VIII kadencji, s. 30. Dostrzeżenia wymaga, że według uzasadnienia do ww. nowelizacji z 2016 r. zastosowanie tego przepisu nie jest uzależnione od tego, czy pilna potrzeba wynika z przyczyn leżących po stronie zamawiającego, a także od tego, czy jej zaistnienia nie można było wcześniej przewidzieć. Wprowadzając w aktualnym stanie prawnym przesłankę zawartą w art. 138 ust. 2 pkt 2) PZP, ustawodawca implementował regulacje z art. 27 ust. 3 dyrektywy 2014/24/UE, który stanowi, że: "jeżeli ze względu na stan pilnej konieczności należycie uzasadniony przez instytucję zamawiającą, termin określony w ust. 1 akapit drugi [35-dniowy] nie może być dotrzymany, instytucja zamawiająca może wyznaczyć termin, który nie może być krótszy niż 15 dni od daty wysłania ogłoszenia o zamówieniu". Tym samym, spełnienie tej przesłanki uzależnione jest od wykazania przez zamawiającego uzasadnionej pilnej potrzeby. Uzasadniając pilną potrzebę zamawiający zobowiązany jest do wskazania obiektywnych przesłanek skrócenia terminu składania ofert. Mając na uwadze regulacje zawarte w motywie 46 preambuły, który stanowi, że: "instytucje zamawiające powinny mieć możliwość skrócenia niektórych terminów mających zastosowanie w procedurze otwartej i ograniczonej oraz w procedurach konkurencyjnych z negocjacjami, w przypadkach gdy dane terminy byłyby niewykonalne ze względu na pilną konieczność, która powinna zostać należycie uzasadniona przez instytucję zamawiającą”. Zatem pilność zamówienia nie ma charakteru zależności bądź niezależności od samego zamawiającego, może być zatem ta pilność wynikać z przyczyn zależnych od zamawiającego. </w:t>
      </w:r>
    </w:p>
    <w:p>
      <w:pPr>
        <w:pStyle w:val="Default"/>
        <w:jc w:val="left"/>
        <w:rPr>
          <w:strike w:val="false"/>
          <w:dstrike w:val="false"/>
          <w:sz w:val="22"/>
          <w:u w:val="none"/>
        </w:rPr>
      </w:pPr>
      <w:r>
        <w:rPr>
          <w:rFonts w:ascii="Tahoma" w:hAnsi="Tahoma"/>
          <w:sz w:val="21"/>
          <w:szCs w:val="21"/>
        </w:rPr>
        <w:t xml:space="preserve">Przedmiot zamówienia jest realizowany w ramach Wniosku o dofinansowanie projektu w ramach: </w:t>
      </w:r>
      <w:r>
        <w:rPr>
          <w:rStyle w:val="Strong"/>
          <w:rFonts w:cs="Tahoma" w:ascii="Tahoma" w:hAnsi="Tahoma"/>
          <w:b/>
          <w:bCs/>
          <w:i w:val="false"/>
          <w:iCs w:val="false"/>
          <w:caps w:val="false"/>
          <w:smallCaps w:val="false"/>
          <w:strike w:val="false"/>
          <w:dstrike w:val="false"/>
          <w:outline w:val="false"/>
          <w:shadow w:val="false"/>
          <w:color w:val="1B1B1B"/>
          <w:spacing w:val="0"/>
          <w:kern w:val="0"/>
          <w:sz w:val="21"/>
          <w:szCs w:val="21"/>
          <w:u w:val="none"/>
          <w:shd w:fill="FFFFFF" w:val="clear"/>
          <w:em w:val="none"/>
          <w:lang w:val="pl-PL" w:eastAsia="en-US" w:bidi="ar-SA"/>
        </w:rPr>
        <w:t xml:space="preserve"> Krajowego Planu Odbudowy i Zwiększania Odporności</w:t>
      </w:r>
      <w:r>
        <w:rPr>
          <w:rFonts w:ascii="Tahoma" w:hAnsi="Tahoma"/>
          <w:b/>
          <w:bCs/>
          <w:sz w:val="21"/>
          <w:szCs w:val="21"/>
        </w:rPr>
        <w:t>, Inwestycja D1.1.2 „Przyspieszenie procesów transformacji cyfrowej ochrony zdrowia poprzez dalszy rozwój usług cyfrowych w ochronie zdrowia” będąca elementem komponentu D „Efektywność, dostępność i jakość systemu ochrony zdrowia”. Nabór nr KPOD.07.03-IP.10-001/25.</w:t>
      </w:r>
    </w:p>
    <w:p>
      <w:pPr>
        <w:pStyle w:val="Default"/>
        <w:jc w:val="left"/>
        <w:rPr>
          <w:strike w:val="false"/>
          <w:dstrike w:val="false"/>
          <w:sz w:val="22"/>
          <w:u w:val="none"/>
        </w:rPr>
      </w:pPr>
      <w:r>
        <w:rPr>
          <w:rFonts w:ascii="Tahoma" w:hAnsi="Tahoma"/>
          <w:sz w:val="21"/>
          <w:szCs w:val="21"/>
        </w:rPr>
        <w:t xml:space="preserve"> </w:t>
      </w:r>
      <w:r>
        <w:rPr>
          <w:rFonts w:ascii="Tahoma" w:hAnsi="Tahoma"/>
          <w:sz w:val="21"/>
          <w:szCs w:val="21"/>
        </w:rPr>
        <w:t>Tak szerokie ujęcie pojęcia „pilności” nakazuje poszukiwać takiej możliwości, w obiektywnych przesłankach a także ograniczyć się do wyjątkowych przypadków tak aby ta instytucja nie była nadużywana. (vide: . KIO z 9.8.2019 r., KIO 1437/19, Legalis). W przedmiotowym przypadku Zamawiający uzasadnia zastosowanie przyspieszonego trybu postępowania w przetargu nieograniczonym koniecznością zapewnienia terminowej realizacji zamówienia pn.</w:t>
      </w:r>
      <w:r>
        <w:rPr>
          <w:rFonts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,,Zakup licencji AMMS wraz z </w:t>
      </w:r>
      <w:r>
        <w:rPr>
          <w:rFonts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nadzorem i wdrożeniem, </w:t>
      </w:r>
      <w:r>
        <w:rPr>
          <w:rFonts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integracją systemów informatycznych </w:t>
      </w: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Szpitala Powiatowego im. Tadeusza Malińskiego w Śremie sp. z o. o. – III cz.”</w:t>
      </w:r>
      <w:r>
        <w:rPr>
          <w:rFonts w:cs="Tahoma" w:ascii="Tahoma" w:hAnsi="Tahoma"/>
          <w:b w:val="false"/>
          <w:bCs w:val="false"/>
          <w:i w:val="false"/>
          <w:iCs w:val="false"/>
          <w:strike w:val="false"/>
          <w:dstrike w:val="false"/>
          <w:outline w:val="false"/>
          <w:shadow w:val="false"/>
          <w:kern w:val="0"/>
          <w:sz w:val="21"/>
          <w:szCs w:val="21"/>
          <w:u w:val="none"/>
          <w:shd w:fill="FFFFFF" w:val="clear"/>
          <w:em w:val="none"/>
          <w:lang w:val="pl-PL" w:eastAsia="en-US" w:bidi="ar-SA"/>
        </w:rPr>
        <w:t xml:space="preserve"> przedsięwzięcia pn.:</w:t>
      </w:r>
    </w:p>
    <w:p>
      <w:pPr>
        <w:pStyle w:val="Default"/>
        <w:jc w:val="left"/>
        <w:rPr>
          <w:strike w:val="false"/>
          <w:dstrike w:val="false"/>
          <w:sz w:val="22"/>
          <w:u w:val="none"/>
        </w:rPr>
      </w:pPr>
      <w:r>
        <w:rPr>
          <w:rFonts w:eastAsia="Tahoma" w:cs="Tahoma" w:ascii="Tahoma" w:hAnsi="Tahoma"/>
          <w:b/>
          <w:bCs/>
          <w:i w:val="false"/>
          <w:iCs w:val="false"/>
          <w:strike w:val="false"/>
          <w:dstrike w:val="false"/>
          <w:outline w:val="false"/>
          <w:shadow w:val="false"/>
          <w:kern w:val="0"/>
          <w:sz w:val="21"/>
          <w:szCs w:val="21"/>
          <w:u w:val="none"/>
          <w:shd w:fill="FFFFFF" w:val="clear"/>
          <w:em w:val="none"/>
          <w:lang w:val="pl-PL" w:eastAsia="en-US" w:bidi="ar-SA"/>
        </w:rPr>
        <w:t xml:space="preserve">Transformacja cyfrowa Szpitala Powiatowego im. Tadeusza Malińskiego w Śremie sp. z o. o., </w:t>
      </w:r>
      <w:r>
        <w:rPr>
          <w:rFonts w:ascii="Tahoma" w:hAnsi="Tahoma"/>
          <w:sz w:val="21"/>
          <w:szCs w:val="21"/>
          <w:shd w:fill="FFFFFF" w:val="clear"/>
        </w:rPr>
        <w:t>. Przedmiotowe zamówienie realizowane jest w ramach Krajowego Planu Odbudowy i Zwiększania Odporności (KPO) – komponent dotyczący cyberbezpieczeństwa, dla którego określono nieprzekraczalny termin zakończenia realizacji projektu do dnia 31.05.2026 r. Niedotrzymanie powyższego terminu skutkowałoby ryzykiem utraty dofinansowania lub koniecznością zwrotu środków, co narażałoby Zamawiającego na poważne konsekwencje finansowe. Zakres zamówienia obejmuje nie tylko dostawę licencji, lecz również wdrożenie, konfigurację, integrację z funkcjonującym systemem HIS AMMS, testy, szkolenia użytkowników oraz uruchomienie produkcyjne nowych modułów i funkcjonalności. Są to czynności cz</w:t>
      </w:r>
      <w:r>
        <w:rPr>
          <w:rFonts w:ascii="Tahoma" w:hAnsi="Tahoma"/>
          <w:sz w:val="21"/>
          <w:szCs w:val="21"/>
        </w:rPr>
        <w:t>asochłonne, wymagające odpowiedniego zaplanowania oraz realizacji w ściśle określonych oknach czasowych, z uwzględnieniem ciągłości pracy jednostki ochrony zdrowia oraz bezpieczeństwa danych medycznych. Dodatkowo, zamówienie dotyczy obszaru cyberbezpieczeństwa systemów teleinformatycznych szpitala, co ma bezpośredni wpływ na bezpieczeństwo przetwarzania danych osobowych i danych szczególnej kategorii, a także na ciągłość udzielania świadczeń zdrowotnych. Opóźnienie realizacji zamówienia zwiększałoby ryzyko wystąpienia incydentów bezpieczeństwa oraz ograniczałoby możliwość spełnienia aktualnych i projektowanych wymogów prawnych w zakresie ochrony systemów informatycznych podmiotów leczniczych. Mając na uwadze powyższe okoliczności, w szczególności:</w:t>
      </w:r>
    </w:p>
    <w:p>
      <w:pPr>
        <w:pStyle w:val="Default"/>
        <w:numPr>
          <w:ilvl w:val="0"/>
          <w:numId w:val="4"/>
        </w:numPr>
        <w:jc w:val="left"/>
        <w:rPr>
          <w:strike w:val="false"/>
          <w:dstrike w:val="false"/>
          <w:sz w:val="22"/>
          <w:u w:val="none"/>
        </w:rPr>
      </w:pPr>
      <w:r>
        <w:rPr>
          <w:rFonts w:ascii="Tahoma" w:hAnsi="Tahoma"/>
          <w:sz w:val="21"/>
          <w:szCs w:val="21"/>
        </w:rPr>
        <w:t xml:space="preserve"> </w:t>
      </w:r>
      <w:r>
        <w:rPr>
          <w:rFonts w:ascii="Tahoma" w:hAnsi="Tahoma"/>
          <w:sz w:val="21"/>
          <w:szCs w:val="21"/>
        </w:rPr>
        <w:t>określony termin realizacji projektu wynikający z zasad finansowania KPO,</w:t>
      </w:r>
    </w:p>
    <w:p>
      <w:pPr>
        <w:pStyle w:val="Default"/>
        <w:numPr>
          <w:ilvl w:val="0"/>
          <w:numId w:val="4"/>
        </w:numPr>
        <w:jc w:val="left"/>
        <w:rPr>
          <w:strike w:val="false"/>
          <w:dstrike w:val="false"/>
          <w:sz w:val="22"/>
          <w:u w:val="none"/>
        </w:rPr>
      </w:pPr>
      <w:r>
        <w:rPr>
          <w:rFonts w:ascii="Tahoma" w:hAnsi="Tahoma"/>
          <w:sz w:val="21"/>
          <w:szCs w:val="21"/>
        </w:rPr>
        <w:t xml:space="preserve"> </w:t>
      </w:r>
      <w:r>
        <w:rPr>
          <w:rFonts w:ascii="Tahoma" w:hAnsi="Tahoma"/>
          <w:sz w:val="21"/>
          <w:szCs w:val="21"/>
        </w:rPr>
        <w:t xml:space="preserve">złożony charakter przedmiotu zamówienia obejmujący wdrożenie i integrację systemów, </w:t>
      </w:r>
    </w:p>
    <w:p>
      <w:pPr>
        <w:pStyle w:val="Default"/>
        <w:numPr>
          <w:ilvl w:val="0"/>
          <w:numId w:val="4"/>
        </w:numPr>
        <w:jc w:val="left"/>
        <w:rPr>
          <w:strike w:val="false"/>
          <w:dstrike w:val="false"/>
          <w:sz w:val="22"/>
          <w:u w:val="none"/>
        </w:rPr>
      </w:pPr>
      <w:r>
        <w:rPr>
          <w:rFonts w:ascii="Tahoma" w:hAnsi="Tahoma"/>
          <w:sz w:val="21"/>
          <w:szCs w:val="21"/>
        </w:rPr>
        <w:t xml:space="preserve"> </w:t>
      </w:r>
      <w:r>
        <w:rPr>
          <w:rFonts w:ascii="Tahoma" w:hAnsi="Tahoma"/>
          <w:sz w:val="21"/>
          <w:szCs w:val="21"/>
        </w:rPr>
        <w:t>konieczność zapewnienia bezpieczeństwa teleinformatycznego oraz ciągłości działania szpitala,</w:t>
      </w:r>
    </w:p>
    <w:p>
      <w:pPr>
        <w:pStyle w:val="Default"/>
        <w:numPr>
          <w:ilvl w:val="0"/>
          <w:numId w:val="0"/>
        </w:numPr>
        <w:ind w:hanging="0" w:left="0" w:right="0"/>
        <w:jc w:val="left"/>
        <w:rPr>
          <w:strike w:val="false"/>
          <w:dstrike w:val="false"/>
          <w:sz w:val="22"/>
          <w:u w:val="none"/>
        </w:rPr>
      </w:pPr>
      <w:r>
        <w:rPr>
          <w:rFonts w:ascii="Tahoma" w:hAnsi="Tahoma"/>
          <w:sz w:val="21"/>
          <w:szCs w:val="21"/>
        </w:rPr>
        <w:t xml:space="preserve">Zamawiający uznaje, że zachowanie standardowych terminów przewidzianych dla przetargu nieograniczonego mogłoby uniemożliwić terminową realizację zamówienia. W związku z tym zastosowanie skróconych terminów składania ofert jest uzasadnione i proporcjonalne, a jednocześnie nie narusza zasad uczciwej konkurencji ani równego traktowania wykonawców W przedmiotowym postępowaniu zachodzi stan pilnej konieczności, o którym mowa w art. 138 ust. 2 pkt 2 ustawy Pzp, uzasadniający skrócenie terminu składania ofert w trybie przetargu nieograniczonego. Pilność ta ma charakter obiektywny, realny i aktualny, a jej źródłem są zarówno uwarunkowania czasowe realizacji zamówienia, jak i szczególne uwarunkowania techniczne oraz prawnoautorskie przedmiotu zamówienia. Zamówienie dotyczy bowiem rozszerzenia, modyfikacji oraz integracji z funkcjonującym </w:t>
      </w:r>
      <w:r>
        <w:rPr>
          <w:rFonts w:ascii="Tahoma" w:hAnsi="Tahoma"/>
          <w:strike w:val="false"/>
          <w:dstrike w:val="false"/>
          <w:sz w:val="21"/>
          <w:szCs w:val="21"/>
          <w:u w:val="none"/>
        </w:rPr>
        <w:t xml:space="preserve">oprogramowanie, jego strukturę, architekturę oraz mechanizmy integracyjne, co powoduje, że realizacja zamówienia jest możliwa wyłącznie przy zapewnieniu zgodności z reżimem ochrony praw autorskich. W tym kontekście Zamawiający wskazuje, że spełnione są przesłanki, które potencjalnie uzasadniałyby zastosowanie trybu zamówienia z wolnej ręki, o którym mowa w art. 214 ust. 1 pkt 1 lit. b) Pzp (ochrona praw wyłącznych, w tym praw autorskich) oraz zastosowanie trybu zamówienia z wolnej ręki, o którym mowa w art. 214 ust. 1 pkt 6 Pzp( w postępowaniu oznaczonym numerem sprawy: ZP/5/PN/26 nie zostały złożone żadne oferty). Zamawiający jednak świadomie odstępuje od zastosowania tego trybu, uznając, że możliwe jest przeprowadzenie postępowania konkurencyjnego, pod warunkiem skrócenia terminów składania ofert. Wybór przetargu nieograniczonego ze skróconym terminem składania ofert stanowi zatem rozwiązanie bardziej proporcjonalne, godzące: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w:t>
      </w:r>
      <w:r>
        <w:rPr>
          <w:rFonts w:ascii="Tahoma" w:hAnsi="Tahoma"/>
          <w:strike w:val="false"/>
          <w:dstrike w:val="false"/>
          <w:sz w:val="21"/>
          <w:szCs w:val="21"/>
          <w:u w:val="none"/>
        </w:rPr>
        <w:t xml:space="preserve">potrzebę zapewnienia zgodności z przepisami o ochronie praw autorskich,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w:t>
      </w:r>
      <w:r>
        <w:rPr>
          <w:rFonts w:ascii="Tahoma" w:hAnsi="Tahoma"/>
          <w:strike w:val="false"/>
          <w:dstrike w:val="false"/>
          <w:sz w:val="21"/>
          <w:szCs w:val="21"/>
          <w:u w:val="none"/>
        </w:rPr>
        <w:t xml:space="preserve">konieczność pilnego udzielenia zamówienia,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w:t>
      </w:r>
      <w:r>
        <w:rPr>
          <w:rFonts w:ascii="Tahoma" w:hAnsi="Tahoma"/>
          <w:strike w:val="false"/>
          <w:dstrike w:val="false"/>
          <w:sz w:val="21"/>
          <w:szCs w:val="21"/>
          <w:u w:val="none"/>
        </w:rPr>
        <w:t xml:space="preserve">oraz fundamentalne zasady systemu zamówień publicznych, w tym zasadę uczciwej konkurencji i równego traktowania wykonawców. Zamawiający podkreśla, że zachowanie standardowego 35-dniowego terminu składania ofert mogłoby w praktyce uniemożliwić terminową realizację zamówienia, co – wobec nieprzekraczalnych terminów realizacji projektu (w tym wynikających z finansowania ze środków KPO) oraz czasochłonnego charakteru wdrożenia i integracji systemu – skutkowałoby ryzykiem: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w:t>
      </w:r>
      <w:r>
        <w:rPr>
          <w:rFonts w:ascii="Tahoma" w:hAnsi="Tahoma"/>
          <w:strike w:val="false"/>
          <w:dstrike w:val="false"/>
          <w:sz w:val="21"/>
          <w:szCs w:val="21"/>
          <w:u w:val="none"/>
        </w:rPr>
        <w:t xml:space="preserve">utraty lub zwrotu dofinansowania,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w:t>
      </w:r>
      <w:r>
        <w:rPr>
          <w:rFonts w:ascii="Tahoma" w:hAnsi="Tahoma"/>
          <w:strike w:val="false"/>
          <w:dstrike w:val="false"/>
          <w:sz w:val="21"/>
          <w:szCs w:val="21"/>
          <w:u w:val="none"/>
        </w:rPr>
        <w:t>naruszenia ciągłości funkcjonowania szpitala,</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 • </w:t>
      </w:r>
      <w:r>
        <w:rPr>
          <w:rFonts w:ascii="Tahoma" w:hAnsi="Tahoma"/>
          <w:strike w:val="false"/>
          <w:dstrike w:val="false"/>
          <w:sz w:val="21"/>
          <w:szCs w:val="21"/>
          <w:u w:val="none"/>
        </w:rPr>
        <w:t xml:space="preserve">zwiększenia zagrożeń w obszarze cyberbezpieczeństwa i ochrony danych medycznych. </w:t>
      </w:r>
    </w:p>
    <w:p>
      <w:pPr>
        <w:pStyle w:val="Default"/>
        <w:numPr>
          <w:ilvl w:val="0"/>
          <w:numId w:val="0"/>
        </w:numPr>
        <w:ind w:hanging="0" w:left="0" w:right="0"/>
        <w:jc w:val="left"/>
        <w:rPr>
          <w:strike w:val="false"/>
          <w:dstrike w:val="false"/>
          <w:sz w:val="22"/>
          <w:u w:val="none"/>
        </w:rPr>
      </w:pPr>
      <w:r>
        <w:rPr>
          <w:rFonts w:ascii="Tahoma" w:hAnsi="Tahoma"/>
          <w:strike w:val="false"/>
          <w:dstrike w:val="false"/>
          <w:sz w:val="21"/>
          <w:szCs w:val="21"/>
          <w:u w:val="none"/>
        </w:rPr>
        <w:t xml:space="preserve">W tym stanie faktycznym i prawnym skrócenie terminu składania ofert do minimum dopuszczalnego przez </w:t>
      </w:r>
      <w:r>
        <w:rPr>
          <w:rFonts w:ascii="Tahoma" w:hAnsi="Tahoma"/>
          <w:strike w:val="false"/>
          <w:dstrike w:val="false"/>
          <w:sz w:val="21"/>
          <w:szCs w:val="21"/>
          <w:u w:val="none"/>
          <w:shd w:fill="FFFFFF" w:val="clear"/>
        </w:rPr>
        <w:t>art. 138 ust. 2 pkt 2 Pzp należy uznać za działanie uzasadnione, proporcjonalne i zgodne z celem ustawy</w:t>
      </w:r>
    </w:p>
    <w:p>
      <w:pPr>
        <w:pStyle w:val="Default"/>
        <w:jc w:val="left"/>
        <w:rPr>
          <w:rFonts w:ascii="Tahoma" w:hAnsi="Tahoma"/>
          <w:strike w:val="false"/>
          <w:dstrike w:val="false"/>
          <w:color w:val="000000"/>
          <w:sz w:val="21"/>
          <w:szCs w:val="21"/>
          <w:highlight w:val="none"/>
          <w:u w:val="none"/>
          <w:shd w:fill="FFFFFF" w:val="clear"/>
        </w:rPr>
      </w:pPr>
      <w:r>
        <w:rPr>
          <w:rFonts w:ascii="Tahoma" w:hAnsi="Tahoma"/>
          <w:strike w:val="false"/>
          <w:dstrike w:val="false"/>
          <w:color w:val="000000"/>
          <w:sz w:val="21"/>
          <w:szCs w:val="21"/>
          <w:u w:val="none"/>
          <w:shd w:fill="FFFFFF" w:val="clear"/>
        </w:rPr>
      </w:r>
    </w:p>
    <w:p>
      <w:pPr>
        <w:pStyle w:val="Default"/>
        <w:jc w:val="left"/>
        <w:rPr>
          <w:rFonts w:ascii="Tahoma" w:hAnsi="Tahoma"/>
          <w:strike w:val="false"/>
          <w:dstrike w:val="false"/>
          <w:color w:val="000000"/>
          <w:sz w:val="21"/>
          <w:szCs w:val="21"/>
          <w:highlight w:val="none"/>
          <w:u w:val="none"/>
          <w:shd w:fill="FFFFFF" w:val="clear"/>
        </w:rPr>
      </w:pPr>
      <w:r>
        <w:rPr>
          <w:rFonts w:ascii="Tahoma" w:hAnsi="Tahoma"/>
          <w:b w:val="false"/>
          <w:i w:val="false"/>
          <w:caps w:val="false"/>
          <w:smallCaps w:val="false"/>
          <w:strike w:val="false"/>
          <w:dstrike w:val="false"/>
          <w:color w:val="0A0A0A"/>
          <w:spacing w:val="0"/>
          <w:sz w:val="21"/>
          <w:szCs w:val="21"/>
          <w:u w:val="none"/>
          <w:shd w:fill="FFFFFF" w:val="clear"/>
        </w:rPr>
        <w:t>Skrócenie terminu składania ofert nie pozbawia Wykonawców możliwości udziału w tym postępowaniu. Każdy z Wykonawców jako profesjonalny podmiot w obrocie prawno-gospodarczym, jest w stanie przygotować i złożyć ofertę na realizację przedmiotowego zadania w sytuacji, gdy termin składania ofert będzie nie krótszy niż 15 dni od dnia przekazania ogłoszenia o zamówieniu Urzędowi Publikacji Unii Europejskiej.</w:t>
        <w:br/>
        <w:t xml:space="preserve">Mając na uwadze pilną potrzebę udzielenia zamówienia, w celu rozliczenia dotacji w wyznaczonym terminie, skrócenie terminu składania ofert jest w pełni uzasadnione. </w:t>
      </w:r>
    </w:p>
    <w:p>
      <w:pPr>
        <w:pStyle w:val="Normal"/>
        <w:widowControl/>
        <w:tabs>
          <w:tab w:val="clear" w:pos="708"/>
          <w:tab w:val="left" w:pos="285" w:leader="none"/>
        </w:tabs>
        <w:suppressAutoHyphens w:val="true"/>
        <w:overflowPunct w:val="false"/>
        <w:bidi w:val="0"/>
        <w:spacing w:lineRule="auto" w:line="252" w:before="0" w:after="0"/>
        <w:ind w:hanging="0" w:left="0" w:right="0"/>
        <w:jc w:val="both"/>
        <w:rPr>
          <w:sz w:val="21"/>
          <w:szCs w:val="21"/>
          <w:highlight w:val="none"/>
          <w:shd w:fill="FFFFFF" w:val="clear"/>
        </w:rPr>
      </w:pPr>
      <w:r>
        <w:rPr>
          <w:sz w:val="21"/>
          <w:szCs w:val="21"/>
          <w:shd w:fill="FFFFFF" w:val="clear"/>
        </w:rPr>
      </w:r>
    </w:p>
    <w:tbl>
      <w:tblPr>
        <w:tblW w:w="9692" w:type="dxa"/>
        <w:jc w:val="left"/>
        <w:tblInd w:w="55" w:type="dxa"/>
        <w:tblLayout w:type="fixed"/>
        <w:tblCellMar>
          <w:top w:w="55" w:type="dxa"/>
          <w:left w:w="55" w:type="dxa"/>
          <w:bottom w:w="55" w:type="dxa"/>
          <w:right w:w="55" w:type="dxa"/>
        </w:tblCellMar>
      </w:tblPr>
      <w:tblGrid>
        <w:gridCol w:w="9692"/>
      </w:tblGrid>
      <w:tr>
        <w:trPr/>
        <w:tc>
          <w:tcPr>
            <w:tcW w:w="9692" w:type="dxa"/>
            <w:tcBorders>
              <w:top w:val="single" w:sz="2" w:space="0" w:color="000000"/>
              <w:left w:val="single" w:sz="2" w:space="0" w:color="000000"/>
              <w:bottom w:val="single" w:sz="2" w:space="0" w:color="000000"/>
              <w:right w:val="single" w:sz="2" w:space="0" w:color="000000"/>
            </w:tcBorders>
            <w:shd w:fill="E6E6E6" w:val="clear"/>
          </w:tcPr>
          <w:p>
            <w:pPr>
              <w:pStyle w:val="Normal"/>
              <w:spacing w:before="0" w:after="160"/>
              <w:rPr/>
            </w:pPr>
            <w:r>
              <w:rPr>
                <w:rFonts w:cs="Tahoma" w:ascii="Tahoma" w:hAnsi="Tahoma"/>
                <w:b/>
                <w:bCs/>
                <w:sz w:val="20"/>
                <w:szCs w:val="20"/>
                <w:lang w:val="pl-PL" w:bidi="ar-SA"/>
              </w:rPr>
              <w:t xml:space="preserve">III. </w:t>
            </w:r>
            <w:r>
              <w:rPr>
                <w:rFonts w:eastAsia="Calibri" w:cs="Tahoma" w:ascii="Tahoma" w:hAnsi="Tahoma"/>
                <w:b/>
                <w:bCs/>
                <w:color w:val="auto"/>
                <w:sz w:val="20"/>
                <w:szCs w:val="20"/>
                <w:lang w:val="pl-PL" w:bidi="ar-SA"/>
              </w:rPr>
              <w:t>ŹRÓDŁA FINANSOWANIA</w:t>
            </w:r>
          </w:p>
        </w:tc>
      </w:tr>
    </w:tbl>
    <w:p>
      <w:pPr>
        <w:pStyle w:val="Normal"/>
        <w:bidi w:val="0"/>
        <w:spacing w:lineRule="auto" w:line="240" w:before="0" w:after="0"/>
        <w:rPr>
          <w:rFonts w:ascii="Tahoma" w:hAnsi="Tahoma" w:eastAsia="Tahoma" w:cs="Tahoma"/>
          <w:b/>
          <w:bCs/>
          <w:i w:val="false"/>
          <w:iCs w:val="false"/>
          <w:strike w:val="false"/>
          <w:dstrike w:val="false"/>
          <w:outline w:val="false"/>
          <w:shadow w:val="false"/>
          <w:color w:val="000000"/>
          <w:kern w:val="0"/>
          <w:sz w:val="21"/>
          <w:szCs w:val="21"/>
          <w:u w:val="none"/>
          <w:shd w:fill="FFFFFF" w:val="clear"/>
          <w:em w:val="none"/>
          <w:lang w:val="pl-PL" w:eastAsia="en-US" w:bidi="ar-SA"/>
        </w:rPr>
      </w:pPr>
      <w:r>
        <w:rPr>
          <w:rFonts w:cs="Tahoma" w:ascii="Tahoma" w:hAnsi="Tahoma"/>
          <w:b/>
          <w:bCs/>
          <w:color w:val="000000"/>
          <w:sz w:val="21"/>
          <w:szCs w:val="21"/>
          <w:shd w:fill="FFFFFF" w:val="clear"/>
          <w:lang w:val="pl-PL" w:eastAsia="pl-PL" w:bidi="ar-SA"/>
        </w:rPr>
        <w:t>1. Zamówienie dotyczy projektu/programu finansowanego ze środków Unii Europejskiej:</w:t>
      </w:r>
      <w:r>
        <w:rPr>
          <w:rFonts w:cs="Tahoma" w:ascii="Tahoma" w:hAnsi="Tahoma"/>
          <w:b/>
          <w:bCs/>
          <w:i w:val="false"/>
          <w:iCs w:val="false"/>
          <w:color w:val="000000"/>
          <w:sz w:val="21"/>
          <w:szCs w:val="21"/>
          <w:shd w:fill="FFFFFF" w:val="clear"/>
          <w:lang w:val="pl-PL" w:eastAsia="pl-PL" w:bidi="ar-SA"/>
        </w:rPr>
        <w:t xml:space="preserve"> </w:t>
      </w:r>
    </w:p>
    <w:p>
      <w:pPr>
        <w:pStyle w:val="Normal"/>
        <w:spacing w:lineRule="auto" w:line="240" w:before="0" w:after="0"/>
        <w:jc w:val="both"/>
        <w:rPr>
          <w:rFonts w:ascii="Tahoma" w:hAnsi="Tahoma" w:cs="Tahoma"/>
          <w:b/>
          <w:color w:val="000000"/>
          <w:sz w:val="20"/>
          <w:szCs w:val="20"/>
        </w:rPr>
      </w:pPr>
      <w:r>
        <w:rPr>
          <w:rFonts w:eastAsia="Tahom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 xml:space="preserve">Transformacja cyfrowa Szpitala Powiatowego im. Tadeusza Malińskiego w Śremie sp. z o. o., </w:t>
      </w:r>
      <w:r>
        <w:rPr>
          <w:rFonts w:eastAsia="" w:cs="Tahoma" w:ascii="Tahoma" w:hAnsi="Tahoma"/>
          <w:b/>
          <w:bCs/>
          <w:i w:val="false"/>
          <w:iCs w:val="false"/>
          <w:strike w:val="false"/>
          <w:dstrike w:val="false"/>
          <w:outline w:val="false"/>
          <w:shadow w:val="false"/>
          <w:color w:val="000000"/>
          <w:kern w:val="0"/>
          <w:sz w:val="21"/>
          <w:szCs w:val="21"/>
          <w:u w:val="none"/>
          <w:shd w:fill="FFFFFF" w:val="clear"/>
          <w:em w:val="none"/>
          <w:lang w:val="pl-PL" w:eastAsia="en-US" w:bidi="ar-SA"/>
        </w:rPr>
        <w:t>realizowanego w ramach</w:t>
      </w:r>
      <w:r>
        <w:rPr>
          <w:rFonts w:eastAsia="" w:cs="Tahoma" w:ascii="Tahoma" w:hAnsi="Tahoma"/>
          <w:b w:val="false"/>
          <w:bCs w:val="false"/>
          <w:i w:val="false"/>
          <w:iCs w:val="false"/>
          <w:strike w:val="false"/>
          <w:dstrike w:val="false"/>
          <w:outline w:val="false"/>
          <w:shadow w:val="false"/>
          <w:color w:val="000000"/>
          <w:kern w:val="0"/>
          <w:sz w:val="21"/>
          <w:szCs w:val="21"/>
          <w:u w:val="none"/>
          <w:shd w:fill="FFFFFF" w:val="clear"/>
          <w:em w:val="none"/>
          <w:lang w:val="pl-PL" w:eastAsia="en-US" w:bidi="ar-SA"/>
        </w:rPr>
        <w:t xml:space="preserve"> </w:t>
      </w:r>
      <w:r>
        <w:rPr>
          <w:rStyle w:val="Strong"/>
          <w:rFonts w:eastAsia="" w:cs="Tahoma" w:ascii="Tahoma" w:hAnsi="Tahoma"/>
          <w:b/>
          <w:bCs/>
          <w:i w:val="false"/>
          <w:iCs w:val="false"/>
          <w:caps w:val="false"/>
          <w:smallCaps w:val="false"/>
          <w:strike w:val="false"/>
          <w:dstrike w:val="false"/>
          <w:outline w:val="false"/>
          <w:shadow w:val="false"/>
          <w:color w:val="1B1B1B"/>
          <w:spacing w:val="0"/>
          <w:kern w:val="0"/>
          <w:sz w:val="21"/>
          <w:szCs w:val="21"/>
          <w:u w:val="none"/>
          <w:shd w:fill="FFFFFF" w:val="clear"/>
          <w:em w:val="none"/>
          <w:lang w:val="pl-PL" w:eastAsia="en-US" w:bidi="ar-SA"/>
        </w:rPr>
        <w:t>Krajowego Planu Odbudowy i Zwiększania Odporności -</w:t>
      </w:r>
      <w:r>
        <w:rPr>
          <w:rStyle w:val="Strong"/>
          <w:rFonts w:cs="Tahoma" w:ascii="Tahoma" w:hAnsi="Tahoma"/>
          <w:b/>
          <w:i w:val="false"/>
          <w:iCs w:val="false"/>
          <w:caps w:val="false"/>
          <w:smallCaps w:val="false"/>
          <w:color w:val="1B1B1B"/>
          <w:spacing w:val="0"/>
          <w:sz w:val="21"/>
          <w:szCs w:val="21"/>
          <w:shd w:fill="FFFFFF" w:val="clear"/>
          <w:lang w:val="pl-PL" w:eastAsia="pl-PL" w:bidi="ar-SA"/>
        </w:rPr>
        <w:t xml:space="preserve">Komponent D „Efektywność, dostępność i jakość systemu ochrony zdrowia” Inwestycja D1.1.2 „Przyspieszenie procesów transformacji cyfrowej ochrony zdrowia poprzez dalszy rozwój usług cyfrowych w ochronie zdrowia” </w:t>
      </w:r>
      <w:r>
        <w:rPr>
          <w:rFonts w:cs="Tahoma" w:ascii="Tahoma" w:hAnsi="Tahoma"/>
          <w:b/>
          <w:bCs/>
          <w:i w:val="false"/>
          <w:iCs w:val="false"/>
          <w:color w:val="000000"/>
          <w:sz w:val="21"/>
          <w:szCs w:val="21"/>
          <w:shd w:fill="FFFFFF" w:val="clear"/>
          <w:lang w:val="pl-PL" w:eastAsia="pl-PL" w:bidi="ar-SA"/>
        </w:rPr>
        <w:t xml:space="preserve"> </w:t>
      </w:r>
      <w:r>
        <w:rPr>
          <w:rStyle w:val="Strong1"/>
          <w:rFonts w:eastAsia="Tahoma" w:cs="Tahoma" w:ascii="Tahoma" w:hAnsi="Tahoma"/>
          <w:b/>
          <w:bCs/>
          <w:i w:val="false"/>
          <w:iCs w:val="false"/>
          <w:strike w:val="false"/>
          <w:dstrike w:val="false"/>
          <w:outline w:val="false"/>
          <w:shadow w:val="false"/>
          <w:color w:val="000000"/>
          <w:sz w:val="21"/>
          <w:szCs w:val="21"/>
          <w:u w:val="none"/>
          <w:shd w:fill="FFFFFF" w:val="clear"/>
          <w:em w:val="none"/>
          <w:lang w:val="pl-PL" w:eastAsia="pl-PL" w:bidi="ar-SA"/>
        </w:rPr>
        <w:t xml:space="preserve"> oraz ze środków własnych</w:t>
      </w:r>
    </w:p>
    <w:p>
      <w:pPr>
        <w:pStyle w:val="Normal"/>
        <w:spacing w:lineRule="auto" w:line="240" w:before="0" w:after="0"/>
        <w:jc w:val="both"/>
        <w:rPr>
          <w:rFonts w:ascii="Tahoma" w:hAnsi="Tahoma" w:cs="Tahoma"/>
          <w:b/>
          <w:color w:val="000000"/>
          <w:sz w:val="20"/>
          <w:szCs w:val="20"/>
        </w:rPr>
      </w:pPr>
      <w:r>
        <w:rPr>
          <w:rFonts w:cs="Tahoma" w:ascii="Tahoma" w:hAnsi="Tahoma"/>
          <w:b/>
          <w:color w:val="000000"/>
          <w:sz w:val="20"/>
          <w:szCs w:val="20"/>
        </w:rPr>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Normal"/>
              <w:spacing w:before="0" w:after="160"/>
              <w:rPr>
                <w:rFonts w:ascii="Tahoma" w:hAnsi="Tahoma" w:cs="Tahoma"/>
                <w:b/>
                <w:bCs/>
                <w:sz w:val="20"/>
                <w:szCs w:val="20"/>
                <w:lang w:val="pl-PL" w:bidi="ar-SA"/>
              </w:rPr>
            </w:pPr>
            <w:r>
              <w:rPr>
                <w:rFonts w:cs="Tahoma" w:ascii="Tahoma" w:hAnsi="Tahoma"/>
                <w:b/>
                <w:bCs/>
                <w:sz w:val="20"/>
                <w:szCs w:val="20"/>
                <w:lang w:val="pl-PL" w:bidi="ar-SA"/>
              </w:rPr>
              <w:t>IV. OPIS PRZEDMIOTU ZAMÓWIENIA.</w:t>
            </w:r>
          </w:p>
        </w:tc>
      </w:tr>
    </w:tbl>
    <w:p>
      <w:pPr>
        <w:pStyle w:val="Default"/>
        <w:spacing w:lineRule="auto" w:line="240"/>
        <w:rPr>
          <w:rFonts w:ascii="Tahoma" w:hAnsi="Tahoma" w:cs="Tahoma"/>
          <w:b w:val="false"/>
          <w:bCs w:val="false"/>
          <w:color w:val="000000"/>
          <w:sz w:val="21"/>
          <w:szCs w:val="21"/>
          <w:shd w:fill="FFFFFF" w:val="clear"/>
          <w:lang w:val="pl-PL" w:bidi="ar-SA"/>
        </w:rPr>
      </w:pPr>
      <w:r>
        <w:rPr>
          <w:rFonts w:cs="Tahoma" w:ascii="Tahoma" w:hAnsi="Tahoma"/>
          <w:b w:val="false"/>
          <w:bCs w:val="false"/>
          <w:color w:val="000000"/>
          <w:sz w:val="21"/>
          <w:szCs w:val="21"/>
          <w:shd w:fill="FFFFFF" w:val="clear"/>
          <w:lang w:val="pl-PL" w:bidi="ar-SA"/>
        </w:rPr>
        <w:t>1.</w:t>
      </w:r>
      <w:r>
        <w:rPr>
          <w:rFonts w:eastAsia="Tahoma" w:cs="Tahoma" w:ascii="Tahoma" w:hAnsi="Tahoma"/>
          <w:b w:val="false"/>
          <w:bCs w:val="false"/>
          <w:iCs/>
          <w:color w:val="000000"/>
          <w:sz w:val="21"/>
          <w:szCs w:val="21"/>
          <w:shd w:fill="FFFFFF" w:val="clear"/>
          <w:lang w:val="pl-PL" w:bidi="ar-SA"/>
        </w:rPr>
        <w:t>Przedmiotem zam</w:t>
      </w:r>
      <w:r>
        <w:rPr>
          <w:rFonts w:cs="Tahoma" w:ascii="Tahoma" w:hAnsi="Tahoma"/>
          <w:b w:val="false"/>
          <w:bCs w:val="false"/>
          <w:color w:val="000000"/>
          <w:sz w:val="21"/>
          <w:szCs w:val="21"/>
          <w:shd w:fill="FFFFFF" w:val="clear"/>
          <w:lang w:val="pl-PL" w:bidi="ar-SA"/>
        </w:rPr>
        <w:t xml:space="preserve">ówienia  </w:t>
      </w:r>
      <w:r>
        <w:rPr>
          <w:rFonts w:cs="Tahoma" w:ascii="Tahoma" w:hAnsi="Tahoma"/>
          <w:b w:val="false"/>
          <w:bCs w:val="false"/>
          <w:color w:val="auto"/>
          <w:sz w:val="21"/>
          <w:szCs w:val="21"/>
          <w:shd w:fill="FFFFFF" w:val="clear"/>
          <w:lang w:val="pl-PL" w:bidi="ar-SA"/>
        </w:rPr>
        <w:t xml:space="preserve">jest dostawa wraz z wdrożeniem Oprogramowania Aplikacyjnego, obejmująca:  </w:t>
      </w:r>
      <w:r>
        <w:rPr>
          <w:rFonts w:cs="Tahoma" w:ascii="Tahoma" w:hAnsi="Tahoma"/>
          <w:color w:val="auto"/>
          <w:sz w:val="21"/>
          <w:szCs w:val="21"/>
          <w:shd w:fill="FFFFFF" w:val="clear"/>
        </w:rPr>
        <w:t xml:space="preserve">wykonanie Wdrożenia Oprogramowania Aplikacyjnego, </w:t>
      </w:r>
      <w:r>
        <w:rPr>
          <w:rFonts w:cs="Tahoma" w:ascii="Tahoma" w:hAnsi="Tahoma"/>
          <w:b w:val="false"/>
          <w:bCs w:val="false"/>
          <w:color w:val="auto"/>
          <w:sz w:val="21"/>
          <w:szCs w:val="21"/>
          <w:shd w:fill="FFFFFF" w:val="clear"/>
          <w:lang w:val="pl-PL" w:bidi="ar-SA"/>
        </w:rPr>
        <w:t>udzielenie Licencji na Oprogramowanie Aplikacyjne oraz wdrożenie Oprogramowania Aplikacyjnego; k</w:t>
      </w:r>
      <w:bookmarkStart w:id="0" w:name="_Hlk210203673"/>
      <w:r>
        <w:rPr>
          <w:rFonts w:cs="Tahoma" w:ascii="Tahoma" w:hAnsi="Tahoma"/>
          <w:sz w:val="21"/>
          <w:szCs w:val="21"/>
          <w:shd w:fill="FFFFFF" w:val="clear"/>
        </w:rPr>
        <w:t>onfiguracja Usług</w:t>
      </w:r>
      <w:bookmarkEnd w:id="0"/>
      <w:r>
        <w:rPr>
          <w:rFonts w:cs="Tahoma" w:ascii="Tahoma" w:hAnsi="Tahoma"/>
          <w:sz w:val="21"/>
          <w:szCs w:val="21"/>
          <w:shd w:fill="FFFFFF" w:val="clear"/>
        </w:rPr>
        <w:t>, u</w:t>
      </w:r>
      <w:r>
        <w:rPr>
          <w:rFonts w:cs="Tahoma" w:ascii="Tahoma" w:hAnsi="Tahoma"/>
          <w:color w:val="auto"/>
          <w:sz w:val="21"/>
          <w:szCs w:val="21"/>
          <w:shd w:fill="FFFFFF" w:val="clear"/>
        </w:rPr>
        <w:t>dzielenie Licencji na Oprogramowanie Aplikacyjne, w tym Oprogramowanie będące przedmiotem Usług</w:t>
      </w:r>
      <w:r>
        <w:rPr>
          <w:rFonts w:cs="Times New Roman" w:ascii="Tahoma" w:hAnsi="Tahoma"/>
          <w:i w:val="false"/>
          <w:iCs w:val="false"/>
          <w:color w:val="auto"/>
          <w:sz w:val="22"/>
          <w:szCs w:val="22"/>
          <w:shd w:fill="FFFFFF" w:val="clear"/>
        </w:rPr>
        <w:t>(</w:t>
      </w:r>
      <w:r>
        <w:rPr>
          <w:rFonts w:cs="Times New Roman" w:ascii="Tahoma" w:hAnsi="Tahoma"/>
          <w:b w:val="false"/>
          <w:bCs w:val="false"/>
          <w:i w:val="false"/>
          <w:iCs w:val="false"/>
          <w:color w:val="auto"/>
          <w:sz w:val="22"/>
          <w:szCs w:val="22"/>
          <w:shd w:fill="FFFFFF" w:val="clear"/>
        </w:rPr>
        <w:t>Licencja na rozwiązania do korzystania z Usług SaaS</w:t>
      </w:r>
      <w:r>
        <w:rPr>
          <w:rFonts w:cs="Times New Roman" w:ascii="Tahoma" w:hAnsi="Tahoma"/>
          <w:b w:val="false"/>
          <w:bCs w:val="false"/>
          <w:i w:val="false"/>
          <w:iCs w:val="false"/>
          <w:color w:val="auto"/>
          <w:sz w:val="22"/>
          <w:szCs w:val="22"/>
          <w:shd w:fill="FFFFFF" w:val="clear"/>
        </w:rPr>
        <w:t>)</w:t>
      </w:r>
      <w:r>
        <w:rPr>
          <w:rFonts w:cs="Tahoma" w:ascii="Tahoma" w:hAnsi="Tahoma"/>
          <w:color w:val="auto"/>
          <w:sz w:val="21"/>
          <w:szCs w:val="21"/>
          <w:shd w:fill="FFFFFF" w:val="clear"/>
        </w:rPr>
        <w:t xml:space="preserve">; </w:t>
      </w:r>
      <w:r>
        <w:rPr>
          <w:rFonts w:cs="Tahoma" w:ascii="Tahoma" w:hAnsi="Tahoma"/>
          <w:b w:val="false"/>
          <w:bCs w:val="false"/>
          <w:color w:val="auto"/>
          <w:sz w:val="21"/>
          <w:szCs w:val="21"/>
          <w:shd w:fill="FFFFFF" w:val="clear"/>
          <w:lang w:val="pl-PL" w:bidi="ar-SA"/>
        </w:rPr>
        <w:t xml:space="preserve">świadczenie Usług </w:t>
      </w:r>
      <w:r>
        <w:rPr>
          <w:rFonts w:cs="Tahoma" w:ascii="Tahoma" w:hAnsi="Tahoma"/>
          <w:b w:val="false"/>
          <w:bCs w:val="false"/>
          <w:color w:val="000000"/>
          <w:sz w:val="21"/>
          <w:szCs w:val="21"/>
          <w:shd w:fill="FFFFFF" w:val="clear"/>
          <w:lang w:val="pl-PL" w:bidi="ar-SA"/>
        </w:rPr>
        <w:t xml:space="preserve"> dla  </w:t>
      </w:r>
      <w:r>
        <w:rPr>
          <w:rFonts w:eastAsia="Tahoma" w:cs="Tahoma" w:ascii="Tahoma" w:hAnsi="Tahoma"/>
          <w:b w:val="false"/>
          <w:bCs w:val="false"/>
          <w:iCs/>
          <w:color w:val="000000"/>
          <w:sz w:val="21"/>
          <w:szCs w:val="21"/>
          <w:shd w:fill="FFFFFF" w:val="clear"/>
          <w:lang w:val="pl-PL" w:bidi="ar-SA"/>
        </w:rPr>
        <w:t>Szpitala Powiatowego im. Tadeusza Malińskiego w Śremie sp. z o. o.</w:t>
      </w:r>
      <w:r>
        <w:rPr>
          <w:rFonts w:cs="Tahoma" w:ascii="Tahoma" w:hAnsi="Tahoma"/>
          <w:b w:val="false"/>
          <w:bCs w:val="false"/>
          <w:color w:val="000000"/>
          <w:sz w:val="21"/>
          <w:szCs w:val="21"/>
          <w:shd w:fill="FFFFFF" w:val="clear"/>
          <w:lang w:val="pl-PL" w:bidi="ar-SA"/>
        </w:rPr>
        <w:t>, którego szczegółowy opis stanowi załącznik nr 1.1 do SWZ – Arkusze cenowe, O</w:t>
      </w:r>
      <w:bookmarkStart w:id="1" w:name="_Hlk88470381_kopia_1"/>
      <w:r>
        <w:rPr>
          <w:rFonts w:cs="Tahoma" w:ascii="Tahoma" w:hAnsi="Tahoma"/>
          <w:b w:val="false"/>
          <w:bCs w:val="false"/>
          <w:color w:val="000000"/>
          <w:sz w:val="21"/>
          <w:szCs w:val="21"/>
          <w:shd w:fill="FFFFFF" w:val="clear"/>
          <w:lang w:val="pl-PL" w:bidi="ar-SA"/>
        </w:rPr>
        <w:t>pis przedmiotu zamówienia – Formularz Parametrów Technicznych</w:t>
      </w:r>
      <w:bookmarkEnd w:id="1"/>
      <w:r>
        <w:rPr>
          <w:rFonts w:cs="Tahoma" w:ascii="Tahoma" w:hAnsi="Tahoma"/>
          <w:b w:val="false"/>
          <w:bCs w:val="false"/>
          <w:color w:val="000000"/>
          <w:sz w:val="21"/>
          <w:szCs w:val="21"/>
          <w:shd w:fill="FFFFFF" w:val="clear"/>
          <w:lang w:val="pl-PL" w:bidi="ar-SA"/>
        </w:rPr>
        <w:t>- minimalne wymagane parametry i funkcje – 1-2</w:t>
      </w:r>
      <w:r>
        <w:rPr>
          <w:rFonts w:cs="Tahoma" w:ascii="Tahoma" w:hAnsi="Tahoma"/>
          <w:b/>
          <w:bCs/>
          <w:color w:val="000000"/>
          <w:sz w:val="21"/>
          <w:szCs w:val="21"/>
          <w:shd w:fill="FFFFFF" w:val="clear"/>
          <w:lang w:val="pl-PL" w:bidi="ar-SA"/>
        </w:rPr>
        <w:t xml:space="preserve"> </w:t>
      </w:r>
      <w:r>
        <w:rPr>
          <w:rFonts w:cs="Tahoma" w:ascii="Tahoma" w:hAnsi="Tahoma"/>
          <w:b w:val="false"/>
          <w:bCs w:val="false"/>
          <w:color w:val="000000"/>
          <w:sz w:val="21"/>
          <w:szCs w:val="21"/>
          <w:shd w:fill="FFFFFF" w:val="clear"/>
          <w:lang w:val="pl-PL" w:bidi="ar-SA"/>
        </w:rPr>
        <w:t>pakiety /części oraz załącznik nr 5 -5A do SWZ – PROJEKT UMOWY</w:t>
      </w:r>
    </w:p>
    <w:p>
      <w:pPr>
        <w:pStyle w:val="Normal"/>
        <w:spacing w:lineRule="auto" w:line="240"/>
        <w:jc w:val="left"/>
        <w:rPr>
          <w:rFonts w:ascii="Tahoma" w:hAnsi="Tahoma" w:cs="Tahoma"/>
          <w:b/>
          <w:bCs/>
          <w:i w:val="false"/>
          <w:caps w:val="false"/>
          <w:smallCaps w:val="false"/>
          <w:color w:val="000000"/>
          <w:spacing w:val="0"/>
          <w:sz w:val="21"/>
          <w:szCs w:val="21"/>
          <w:shd w:fill="FFFFFF" w:val="clear"/>
        </w:rPr>
      </w:pPr>
      <w:r>
        <w:rPr>
          <w:rFonts w:eastAsia="Calibri" w:cs="Tahoma" w:ascii="Tahoma" w:hAnsi="Tahoma"/>
          <w:b w:val="false"/>
          <w:bCs w:val="false"/>
          <w:color w:val="000000"/>
          <w:sz w:val="21"/>
          <w:szCs w:val="21"/>
          <w:shd w:fill="FFFFFF" w:val="clear"/>
          <w:lang w:val="pl-PL" w:eastAsia="zh-CN" w:bidi="ar-SA"/>
        </w:rPr>
        <w:t xml:space="preserve">2. </w:t>
      </w:r>
      <w:r>
        <w:rPr>
          <w:rFonts w:cs="Tahoma" w:ascii="Tahoma" w:hAnsi="Tahoma"/>
          <w:b w:val="false"/>
          <w:bCs w:val="false"/>
          <w:color w:val="000000"/>
          <w:sz w:val="21"/>
          <w:szCs w:val="21"/>
          <w:shd w:fill="FFFFFF" w:val="clear"/>
          <w:lang w:val="pl-PL" w:bidi="ar-SA"/>
        </w:rPr>
        <w:t xml:space="preserve">Główny przedmiot zamówienia wg. </w:t>
      </w:r>
      <w:r>
        <w:rPr>
          <w:rFonts w:cs="Tahoma" w:ascii="Tahoma" w:hAnsi="Tahoma"/>
          <w:b/>
          <w:bCs/>
          <w:color w:val="000000"/>
          <w:sz w:val="21"/>
          <w:szCs w:val="21"/>
          <w:shd w:fill="FFFFFF" w:val="clear"/>
          <w:lang w:val="pl-PL" w:bidi="ar-SA"/>
        </w:rPr>
        <w:t>Wspólnego Słownika Zamówień (CPV):</w:t>
      </w:r>
    </w:p>
    <w:p>
      <w:pPr>
        <w:pStyle w:val="Normal"/>
        <w:shd w:val="clear" w:fill="FFFFFF"/>
        <w:tabs>
          <w:tab w:val="clear" w:pos="708"/>
          <w:tab w:val="left" w:pos="540" w:leader="none"/>
        </w:tabs>
        <w:spacing w:lineRule="auto" w:line="240" w:before="0" w:after="103"/>
        <w:ind w:right="0"/>
        <w:jc w:val="both"/>
        <w:rPr>
          <w:rFonts w:ascii="Tahoma" w:hAnsi="Tahoma" w:cs="Tahoma"/>
          <w:b w:val="false"/>
          <w:i w:val="false"/>
          <w:caps w:val="false"/>
          <w:smallCaps w:val="false"/>
          <w:color w:val="000000"/>
          <w:spacing w:val="0"/>
          <w:sz w:val="21"/>
          <w:szCs w:val="21"/>
          <w:shd w:fill="FFFFFF" w:val="clear"/>
        </w:rPr>
      </w:pPr>
      <w:r>
        <w:rPr>
          <w:rFonts w:cs="Tahoma" w:ascii="Tahoma" w:hAnsi="Tahoma"/>
          <w:b/>
          <w:bCs/>
          <w:sz w:val="21"/>
          <w:szCs w:val="21"/>
          <w:shd w:fill="FFFFFF" w:val="clear"/>
        </w:rPr>
        <w:t>48000000-8 Pakiety oprogramowania i systemy informatyczne</w:t>
      </w:r>
    </w:p>
    <w:p>
      <w:pPr>
        <w:pStyle w:val="Normal"/>
        <w:widowControl w:val="false"/>
        <w:numPr>
          <w:ilvl w:val="0"/>
          <w:numId w:val="0"/>
        </w:numPr>
        <w:suppressAutoHyphens w:val="true"/>
        <w:overflowPunct w:val="false"/>
        <w:bidi w:val="0"/>
        <w:spacing w:lineRule="auto" w:line="240" w:before="0" w:after="103"/>
        <w:ind w:hanging="0" w:left="0" w:right="0"/>
        <w:jc w:val="both"/>
        <w:textAlignment w:val="baseline"/>
        <w:rPr>
          <w:b w:val="false"/>
          <w:bCs w:val="false"/>
        </w:rPr>
      </w:pPr>
      <w:r>
        <w:rPr>
          <w:rFonts w:cs="Tahoma" w:ascii="Tahoma" w:hAnsi="Tahoma"/>
          <w:b w:val="false"/>
          <w:bCs w:val="false"/>
          <w:color w:val="000000"/>
          <w:sz w:val="21"/>
          <w:szCs w:val="21"/>
          <w:shd w:fill="FFFFFF" w:val="clear"/>
          <w:lang w:val="pl-PL" w:bidi="ar-SA"/>
        </w:rPr>
        <w:t>3. Szczegółowy opis przedmiotu zamówienia, asortyment, wymagania i ilości zawiera załącznik nr 1.1 do SWZ – Arkusze cenowe, O</w:t>
      </w:r>
      <w:bookmarkStart w:id="2" w:name="_Hlk88470381"/>
      <w:r>
        <w:rPr>
          <w:rFonts w:cs="Tahoma" w:ascii="Tahoma" w:hAnsi="Tahoma"/>
          <w:b w:val="false"/>
          <w:bCs w:val="false"/>
          <w:color w:val="000000"/>
          <w:sz w:val="21"/>
          <w:szCs w:val="21"/>
          <w:shd w:fill="FFFFFF" w:val="clear"/>
          <w:lang w:val="pl-PL" w:bidi="ar-SA"/>
        </w:rPr>
        <w:t>pis przedmiotu zamówienia – Formularz Parametrów Technicznych</w:t>
      </w:r>
      <w:bookmarkEnd w:id="2"/>
      <w:r>
        <w:rPr>
          <w:rFonts w:cs="Tahoma" w:ascii="Tahoma" w:hAnsi="Tahoma"/>
          <w:b w:val="false"/>
          <w:bCs w:val="false"/>
          <w:color w:val="000000"/>
          <w:sz w:val="21"/>
          <w:szCs w:val="21"/>
          <w:shd w:fill="FFFFFF" w:val="clear"/>
          <w:lang w:val="pl-PL" w:bidi="ar-SA"/>
        </w:rPr>
        <w:t xml:space="preserve">- </w:t>
      </w:r>
      <w:r>
        <w:rPr>
          <w:rFonts w:cs="Tahoma" w:ascii="Tahoma" w:hAnsi="Tahoma"/>
          <w:b w:val="false"/>
          <w:bCs w:val="false"/>
          <w:color w:val="000000"/>
          <w:sz w:val="21"/>
          <w:szCs w:val="21"/>
          <w:shd w:fill="FFFFFF" w:val="clear"/>
        </w:rPr>
        <w:t>minimalne wymagane parametry i funkcje – 1-2 pakiety /części</w:t>
      </w:r>
    </w:p>
    <w:tbl>
      <w:tblPr>
        <w:tblW w:w="9645" w:type="dxa"/>
        <w:jc w:val="left"/>
        <w:tblInd w:w="55" w:type="dxa"/>
        <w:tblLayout w:type="fixed"/>
        <w:tblCellMar>
          <w:top w:w="55" w:type="dxa"/>
          <w:left w:w="55" w:type="dxa"/>
          <w:bottom w:w="55" w:type="dxa"/>
          <w:right w:w="55" w:type="dxa"/>
        </w:tblCellMar>
      </w:tblPr>
      <w:tblGrid>
        <w:gridCol w:w="1080"/>
        <w:gridCol w:w="3499"/>
        <w:gridCol w:w="936"/>
        <w:gridCol w:w="4130"/>
      </w:tblGrid>
      <w:tr>
        <w:trPr>
          <w:trHeight w:val="630" w:hRule="atLeast"/>
        </w:trPr>
        <w:tc>
          <w:tcPr>
            <w:tcW w:w="9645" w:type="dxa"/>
            <w:gridSpan w:val="4"/>
            <w:tcBorders>
              <w:top w:val="single" w:sz="4" w:space="0" w:color="000000"/>
              <w:left w:val="single" w:sz="4" w:space="0" w:color="000000"/>
              <w:bottom w:val="single" w:sz="4" w:space="0" w:color="000000"/>
              <w:right w:val="single" w:sz="4" w:space="0" w:color="000000"/>
            </w:tcBorders>
            <w:vAlign w:val="center"/>
          </w:tcPr>
          <w:p>
            <w:pPr>
              <w:pStyle w:val="BodyText"/>
              <w:widowControl w:val="false"/>
              <w:spacing w:lineRule="auto" w:line="276" w:before="0" w:after="140"/>
              <w:jc w:val="center"/>
              <w:rPr>
                <w:b/>
                <w:bCs/>
                <w:color w:val="000000"/>
                <w:lang w:val="pl-PL" w:bidi="ar-SA"/>
              </w:rPr>
            </w:pPr>
            <w:r>
              <w:rPr>
                <w:b/>
                <w:bCs/>
                <w:color w:val="000000"/>
                <w:lang w:val="pl-PL" w:bidi="ar-SA"/>
              </w:rPr>
              <w:t>ZAŁĄCZNIK 1.1 DO SWZ</w:t>
            </w:r>
          </w:p>
        </w:tc>
      </w:tr>
      <w:tr>
        <w:trPr>
          <w:trHeight w:val="960" w:hRule="atLeast"/>
        </w:trPr>
        <w:tc>
          <w:tcPr>
            <w:tcW w:w="1080" w:type="dxa"/>
            <w:tcBorders>
              <w:left w:val="single" w:sz="4" w:space="0" w:color="000000"/>
              <w:bottom w:val="single" w:sz="4" w:space="0" w:color="000000"/>
            </w:tcBorders>
            <w:vAlign w:val="center"/>
          </w:tcPr>
          <w:p>
            <w:pPr>
              <w:pStyle w:val="Zawartotabeli"/>
              <w:widowControl w:val="false"/>
              <w:snapToGrid w:val="false"/>
              <w:jc w:val="center"/>
              <w:rPr>
                <w:rFonts w:ascii="Tahoma" w:hAnsi="Tahoma" w:cs="Tahoma"/>
                <w:b/>
                <w:bCs/>
                <w:sz w:val="20"/>
                <w:szCs w:val="20"/>
              </w:rPr>
            </w:pPr>
            <w:r>
              <w:rPr>
                <w:rFonts w:cs="Tahoma" w:ascii="Tahoma" w:hAnsi="Tahoma"/>
                <w:b/>
                <w:bCs/>
                <w:sz w:val="20"/>
                <w:szCs w:val="20"/>
              </w:rPr>
            </w:r>
          </w:p>
          <w:p>
            <w:pPr>
              <w:pStyle w:val="Zawartotabeli"/>
              <w:widowControl w:val="false"/>
              <w:spacing w:before="0" w:after="160"/>
              <w:jc w:val="center"/>
              <w:rPr>
                <w:rFonts w:ascii="Tahoma" w:hAnsi="Tahoma" w:cs="Tahoma"/>
                <w:b/>
                <w:bCs/>
                <w:sz w:val="20"/>
                <w:szCs w:val="20"/>
              </w:rPr>
            </w:pPr>
            <w:r>
              <w:rPr>
                <w:rFonts w:cs="Tahoma" w:ascii="Tahoma" w:hAnsi="Tahoma"/>
                <w:b/>
                <w:bCs/>
                <w:sz w:val="20"/>
                <w:szCs w:val="20"/>
              </w:rPr>
              <w:t>NUMER PAKIETU/CZĘŚCI</w:t>
            </w:r>
          </w:p>
        </w:tc>
        <w:tc>
          <w:tcPr>
            <w:tcW w:w="3499" w:type="dxa"/>
            <w:tcBorders>
              <w:left w:val="single" w:sz="4" w:space="0" w:color="000000"/>
              <w:bottom w:val="single" w:sz="4" w:space="0" w:color="000000"/>
            </w:tcBorders>
            <w:vAlign w:val="center"/>
          </w:tcPr>
          <w:p>
            <w:pPr>
              <w:pStyle w:val="Zawartotabeli"/>
              <w:widowControl w:val="false"/>
              <w:spacing w:before="0" w:after="160"/>
              <w:jc w:val="center"/>
              <w:rPr>
                <w:rFonts w:ascii="Tahoma" w:hAnsi="Tahoma" w:cs="Tahoma"/>
                <w:b/>
                <w:bCs/>
                <w:sz w:val="20"/>
                <w:szCs w:val="20"/>
              </w:rPr>
            </w:pPr>
            <w:r>
              <w:rPr>
                <w:rFonts w:cs="Tahoma" w:ascii="Tahoma" w:hAnsi="Tahoma"/>
                <w:b/>
                <w:bCs/>
                <w:sz w:val="20"/>
                <w:szCs w:val="20"/>
              </w:rPr>
              <w:t>Nazwa</w:t>
            </w:r>
          </w:p>
        </w:tc>
        <w:tc>
          <w:tcPr>
            <w:tcW w:w="936" w:type="dxa"/>
            <w:tcBorders>
              <w:left w:val="single" w:sz="4" w:space="0" w:color="000000"/>
              <w:bottom w:val="single" w:sz="4" w:space="0" w:color="000000"/>
            </w:tcBorders>
            <w:vAlign w:val="center"/>
          </w:tcPr>
          <w:p>
            <w:pPr>
              <w:pStyle w:val="Zawartotabeli"/>
              <w:widowControl w:val="false"/>
              <w:spacing w:before="0" w:after="160"/>
              <w:jc w:val="center"/>
              <w:rPr>
                <w:rFonts w:ascii="Tahoma" w:hAnsi="Tahoma" w:cs="Tahoma"/>
                <w:b/>
                <w:bCs/>
                <w:sz w:val="20"/>
                <w:szCs w:val="20"/>
              </w:rPr>
            </w:pPr>
            <w:r>
              <w:rPr>
                <w:rFonts w:cs="Tahoma" w:ascii="Tahoma" w:hAnsi="Tahoma"/>
                <w:b/>
                <w:bCs/>
                <w:sz w:val="20"/>
                <w:szCs w:val="20"/>
              </w:rPr>
              <w:t>Ilość</w:t>
            </w:r>
          </w:p>
        </w:tc>
        <w:tc>
          <w:tcPr>
            <w:tcW w:w="4130" w:type="dxa"/>
            <w:tcBorders>
              <w:left w:val="single" w:sz="4" w:space="0" w:color="000000"/>
              <w:bottom w:val="single" w:sz="4" w:space="0" w:color="000000"/>
            </w:tcBorders>
            <w:vAlign w:val="center"/>
          </w:tcPr>
          <w:p>
            <w:pPr>
              <w:pStyle w:val="Normal"/>
              <w:bidi w:val="0"/>
              <w:spacing w:before="0" w:after="160"/>
              <w:jc w:val="center"/>
              <w:rPr>
                <w:rFonts w:ascii="Tahoma" w:hAnsi="Tahoma" w:cs="Tahoma"/>
                <w:b/>
                <w:bCs/>
                <w:i w:val="false"/>
                <w:strike w:val="false"/>
                <w:dstrike w:val="false"/>
                <w:outline w:val="false"/>
                <w:shadow w:val="false"/>
                <w:color w:val="000000"/>
                <w:sz w:val="20"/>
                <w:szCs w:val="20"/>
                <w:u w:val="none"/>
                <w:em w:val="none"/>
                <w:lang w:val="pl-PL" w:bidi="ar-SA"/>
              </w:rPr>
            </w:pPr>
            <w:r>
              <w:rPr>
                <w:rFonts w:cs="Tahoma" w:ascii="Tahoma" w:hAnsi="Tahoma"/>
                <w:b/>
                <w:bCs/>
                <w:i w:val="false"/>
                <w:strike w:val="false"/>
                <w:dstrike w:val="false"/>
                <w:outline w:val="false"/>
                <w:shadow w:val="false"/>
                <w:color w:val="000000"/>
                <w:sz w:val="20"/>
                <w:szCs w:val="20"/>
                <w:u w:val="none"/>
                <w:em w:val="none"/>
                <w:lang w:val="pl-PL" w:bidi="ar-SA"/>
              </w:rPr>
              <w:t>ZADANIE /DZIAŁANIE  W PROJEKCIE</w:t>
            </w:r>
          </w:p>
        </w:tc>
      </w:tr>
      <w:tr>
        <w:trPr/>
        <w:tc>
          <w:tcPr>
            <w:tcW w:w="1080" w:type="dxa"/>
            <w:vMerge w:val="restart"/>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r>
          </w:p>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r>
          </w:p>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r>
          </w:p>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r>
          </w:p>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t>1</w:t>
            </w:r>
          </w:p>
        </w:tc>
        <w:tc>
          <w:tcPr>
            <w:tcW w:w="3499" w:type="dxa"/>
            <w:tcBorders>
              <w:left w:val="single" w:sz="4" w:space="0" w:color="000000"/>
              <w:bottom w:val="single" w:sz="4" w:space="0" w:color="000000"/>
            </w:tcBorders>
          </w:tcPr>
          <w:p>
            <w:pPr>
              <w:pStyle w:val="Normal"/>
              <w:bidi w:val="0"/>
              <w:jc w:val="center"/>
              <w:rPr>
                <w:rFonts w:ascii="Tahoma" w:hAnsi="Tahoma" w:eastAsia="Tahoma" w:cs="Tahoma"/>
                <w:b w:val="false"/>
                <w:i w:val="false"/>
                <w:strike w:val="false"/>
                <w:dstrike w:val="false"/>
                <w:outline w:val="false"/>
                <w:shadow w:val="false"/>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lekarskie AMMS (30 licencji użytkownika)  wraz z 3 letnim nadzorem i wdrożeniem</w:t>
            </w:r>
          </w:p>
          <w:p>
            <w:pPr>
              <w:pStyle w:val="Normal"/>
              <w:bidi w:val="0"/>
              <w:spacing w:before="0" w:after="0"/>
              <w:jc w:val="center"/>
              <w:rPr>
                <w:rFonts w:ascii="Tahoma" w:hAnsi="Tahoma" w:eastAsia="Tahoma" w:cs="Tahoma"/>
                <w:b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pielęgniarskie AMMS (40 licencji użytkownika)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sz w:val="20"/>
                <w:szCs w:val="20"/>
                <w:u w:val="none"/>
                <w:em w:val="none"/>
              </w:rPr>
            </w:pPr>
            <w:r>
              <w:rPr>
                <w:rFonts w:cs="Tahoma" w:ascii="Tahoma" w:hAnsi="Tahoma"/>
                <w:b w:val="false"/>
                <w:i w:val="false"/>
                <w:strike w:val="false"/>
                <w:dstrike w:val="false"/>
                <w:outline w:val="false"/>
                <w:shadow w:val="false"/>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i w:val="false"/>
                <w:strike w:val="false"/>
                <w:dstrike w:val="false"/>
                <w:outline w:val="false"/>
                <w:shadow w:val="false"/>
                <w:color w:val="000000"/>
                <w:sz w:val="20"/>
                <w:szCs w:val="20"/>
                <w:u w:val="none"/>
                <w:shd w:fill="FFFFFF" w:val="clear"/>
                <w:em w:val="none"/>
                <w:lang w:val="pl-PL" w:bidi="ar-SA"/>
              </w:rPr>
              <w:t>ZADANIE 1-</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 xml:space="preserve"> Integracja i rozbudowa systemów informatycznych świadczeniobiorcy</w:t>
            </w:r>
            <w:r>
              <w:rPr>
                <w:rFonts w:cs="Tahoma" w:ascii="Tahoma" w:hAnsi="Tahoma"/>
                <w:b/>
                <w:bCs/>
                <w:i w:val="false"/>
                <w:strike w:val="false"/>
                <w:dstrike w:val="false"/>
                <w:outline w:val="false"/>
                <w:shadow w:val="false"/>
                <w:color w:val="000000"/>
                <w:sz w:val="20"/>
                <w:szCs w:val="20"/>
                <w:u w:val="none"/>
                <w:shd w:fill="FFFFFF" w:val="clear"/>
                <w:em w:val="none"/>
                <w:lang w:val="pl-PL" w:bidi="ar-SA"/>
              </w:rPr>
              <w:t xml:space="preserve"> / DZIAŁANIE I - </w:t>
            </w:r>
            <w:r>
              <w:rPr>
                <w:rFonts w:cs="Tahoma" w:ascii="Tahoma" w:hAnsi="Tahoma"/>
                <w:b w:val="false"/>
                <w:bCs w:val="false"/>
                <w:i w:val="false"/>
                <w:strike w:val="false"/>
                <w:dstrike w:val="false"/>
                <w:outline w:val="false"/>
                <w:shadow w:val="false"/>
                <w:color w:val="000000"/>
                <w:sz w:val="20"/>
                <w:szCs w:val="20"/>
                <w:u w:val="none"/>
                <w:shd w:fill="FFFFFF" w:val="clear"/>
                <w:em w:val="none"/>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Pulpity anestezjologiczne AMMS  (10 licencji użytkownika) wraz z 3 letnim nadzorem i wdrożeniem</w:t>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Karta Anestezjologiczna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Indywidualny Plan Opieki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Serwer integracyjny HL7 AMMS (licencja na funkcjonalność) wraz z 3 letnim nadzorem i wdrożeniem</w:t>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rHeight w:val="1412" w:hRule="atLeast"/>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Diety indywidualne AMMS  (licencja na funkcjonalność) wraz z 3 letnim nadzorem i wdrożenie</w:t>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Kwalifikacje do szczepień i szczepienia AMMS (licencja na funkcjonalność) wraz z 3 letnim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Udarowa  AMMS (licencja na funkcjonalność) wraz 3 letnim z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eastAsia="Tahoma" w:cs="Tahoma"/>
                <w:b w:val="false"/>
                <w:i w:val="false"/>
                <w:strike w:val="false"/>
                <w:dstrike w:val="false"/>
                <w:outline w:val="false"/>
                <w:shadow w:val="false"/>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SIMP AMMS (licencja na funkcjonalność) wraz z 3 letnim nadzorem i wdrożeniem</w:t>
            </w:r>
          </w:p>
          <w:p>
            <w:pPr>
              <w:pStyle w:val="Normal"/>
              <w:bidi w:val="0"/>
              <w:spacing w:before="0" w:after="160"/>
              <w:jc w:val="center"/>
              <w:rPr>
                <w:rFonts w:ascii="Tahoma" w:hAnsi="Tahoma" w:eastAsia="Tahoma" w:cs="Tahoma"/>
                <w:b w:val="false"/>
                <w:i w:val="false"/>
                <w:strike w:val="false"/>
                <w:dstrike w:val="false"/>
                <w:outline w:val="false"/>
                <w:shadow w:val="false"/>
                <w:sz w:val="20"/>
                <w:szCs w:val="20"/>
                <w:u w:val="none"/>
                <w:em w:val="none"/>
              </w:rPr>
            </w:pPr>
            <w:r>
              <w:rPr>
                <w:rFonts w:eastAsia="Tahoma" w:cs="Tahoma" w:ascii="Tahoma" w:hAnsi="Tahoma"/>
                <w:b w:val="false"/>
                <w:i w:val="false"/>
                <w:strike w:val="false"/>
                <w:dstrike w:val="false"/>
                <w:outline w:val="false"/>
                <w:shadow w:val="false"/>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Ankieta Endoprotezoplastyki AMMS (licencja na funkcjonalność) wraz 3 letnim z nadzorem i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Monitoring środowiska AMMS – usługi</w:t>
            </w:r>
          </w:p>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( 36 miesięcy)</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36 miesięcy</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 xml:space="preserve">ZADANIE 3 </w:t>
            </w:r>
            <w:r>
              <w:rPr>
                <w:rFonts w:cs="Tahoma" w:ascii="Tahoma" w:hAnsi="Tahoma"/>
                <w:b w:val="false"/>
                <w:bCs w:val="false"/>
                <w:color w:val="000000"/>
                <w:sz w:val="20"/>
                <w:szCs w:val="20"/>
                <w:lang w:val="pl-PL" w:bidi="ar-SA"/>
              </w:rPr>
              <w:t>Działanie zwiększające poziom cyberbezpieczeństwa szpitala</w:t>
            </w:r>
            <w:r>
              <w:rPr>
                <w:rFonts w:cs="Tahoma" w:ascii="Tahoma" w:hAnsi="Tahoma"/>
                <w:b/>
                <w:bCs/>
                <w:color w:val="000000"/>
                <w:sz w:val="20"/>
                <w:szCs w:val="20"/>
                <w:lang w:val="pl-PL" w:bidi="ar-SA"/>
              </w:rPr>
              <w:t xml:space="preserve"> / DZIAŁANIE V - </w:t>
            </w:r>
            <w:r>
              <w:rPr>
                <w:rFonts w:cs="Tahoma" w:ascii="Tahoma" w:hAnsi="Tahoma"/>
                <w:b w:val="false"/>
                <w:bCs w:val="false"/>
                <w:color w:val="000000"/>
                <w:sz w:val="20"/>
                <w:szCs w:val="20"/>
                <w:lang w:val="pl-PL" w:bidi="ar-SA"/>
              </w:rPr>
              <w:t>System zarządzania podatnościami</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EDM  AMMS  - Nowe elementy (licencja na funkcjonalność) wraz z 3 letnim nadzorem i wdrożeniem</w:t>
            </w:r>
          </w:p>
          <w:p>
            <w:pPr>
              <w:pStyle w:val="Normal"/>
              <w:bidi w:val="0"/>
              <w:spacing w:before="0" w:after="16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II – </w:t>
            </w:r>
            <w:r>
              <w:rPr>
                <w:rFonts w:cs="Tahoma" w:ascii="Tahoma" w:hAnsi="Tahoma"/>
                <w:b w:val="false"/>
                <w:bCs w:val="false"/>
                <w:color w:val="000000"/>
                <w:sz w:val="20"/>
                <w:szCs w:val="20"/>
                <w:lang w:val="pl-PL" w:bidi="ar-SA"/>
              </w:rPr>
              <w:t>Integracja systemów szpitalnych z P1</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tabs>
                <w:tab w:val="clear" w:pos="708"/>
                <w:tab w:val="left" w:pos="1020" w:leader="none"/>
              </w:tabs>
              <w:snapToGrid w:val="false"/>
              <w:spacing w:before="0" w:after="160"/>
              <w:ind w:hanging="0" w:left="720" w:right="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Interfejs indeksujący skanowaną dokumentację papierową AMMS</w:t>
            </w:r>
          </w:p>
          <w:p>
            <w:pPr>
              <w:pStyle w:val="Normal"/>
              <w:bidi w:val="0"/>
              <w:jc w:val="center"/>
              <w:rPr>
                <w:rFonts w:ascii="Tahoma" w:hAnsi="Tahoma" w:cs="Tahoma"/>
                <w:i w:val="false"/>
                <w:strike w:val="false"/>
                <w:dstrike w:val="false"/>
                <w:outline w:val="false"/>
                <w:shadow w:val="false"/>
                <w:sz w:val="20"/>
                <w:szCs w:val="20"/>
                <w:em w:val="none"/>
              </w:rPr>
            </w:pPr>
            <w:r>
              <w:rPr>
                <w:rFonts w:cs="Tahoma" w:ascii="Tahoma" w:hAnsi="Tahoma"/>
                <w:b/>
                <w:i w:val="false"/>
                <w:strike w:val="false"/>
                <w:dstrike w:val="false"/>
                <w:outline w:val="false"/>
                <w:shadow w:val="false"/>
                <w:color w:val="000000"/>
                <w:sz w:val="20"/>
                <w:szCs w:val="20"/>
                <w:u w:val="none"/>
                <w:em w:val="none"/>
              </w:rPr>
              <w:t>(licencja na funkcjonalność) wraz z 3 letnim nadzorem i wdrożeniem</w:t>
            </w:r>
          </w:p>
          <w:p>
            <w:pPr>
              <w:pStyle w:val="Normal"/>
              <w:bidi w:val="0"/>
              <w:spacing w:before="0" w:after="160"/>
              <w:jc w:val="center"/>
              <w:rPr>
                <w:rFonts w:ascii="Tahoma" w:hAnsi="Tahoma" w:cs="Tahoma"/>
                <w:i w:val="false"/>
                <w:strike w:val="false"/>
                <w:dstrike w:val="false"/>
                <w:outline w:val="false"/>
                <w:shadow w:val="false"/>
                <w:sz w:val="20"/>
                <w:szCs w:val="20"/>
                <w:em w:val="none"/>
              </w:rPr>
            </w:pPr>
            <w:r>
              <w:rPr>
                <w:rFonts w:cs="Tahoma" w:ascii="Tahoma" w:hAnsi="Tahoma"/>
                <w:i w:val="false"/>
                <w:strike w:val="false"/>
                <w:dstrike w:val="false"/>
                <w:outline w:val="false"/>
                <w:shadow w:val="false"/>
                <w:sz w:val="20"/>
                <w:szCs w:val="20"/>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 xml:space="preserve">ZADANIE 2 – </w:t>
            </w:r>
            <w:r>
              <w:rPr>
                <w:rFonts w:cs="Tahoma" w:ascii="Tahoma" w:hAnsi="Tahoma"/>
                <w:b w:val="false"/>
                <w:bCs w:val="false"/>
                <w:color w:val="000000"/>
                <w:sz w:val="20"/>
                <w:szCs w:val="20"/>
                <w:lang w:val="pl-PL" w:bidi="ar-SA"/>
              </w:rPr>
              <w:t>Digitalizacja dokumentacji medycznej istotnej z punktu widzenia leczenia i profilaktyki</w:t>
            </w:r>
            <w:r>
              <w:rPr>
                <w:rFonts w:cs="Tahoma" w:ascii="Tahoma" w:hAnsi="Tahoma"/>
                <w:b/>
                <w:bCs/>
                <w:color w:val="000000"/>
                <w:sz w:val="20"/>
                <w:szCs w:val="20"/>
                <w:lang w:val="pl-PL" w:bidi="ar-SA"/>
              </w:rPr>
              <w:t xml:space="preserve">/ DZIAŁANIE I – </w:t>
            </w:r>
            <w:r>
              <w:rPr>
                <w:rFonts w:cs="Tahoma" w:ascii="Tahoma" w:hAnsi="Tahoma"/>
                <w:b w:val="false"/>
                <w:bCs w:val="false"/>
                <w:color w:val="000000"/>
                <w:sz w:val="20"/>
                <w:szCs w:val="20"/>
                <w:lang w:val="pl-PL" w:bidi="ar-SA"/>
              </w:rPr>
              <w:t>Zakup/modyfikacja/ingerencja systemów informatycznych szpitala, służących indeksacji i profilaktyki</w:t>
            </w:r>
          </w:p>
        </w:tc>
      </w:tr>
      <w:tr>
        <w:trPr/>
        <w:tc>
          <w:tcPr>
            <w:tcW w:w="1080" w:type="dxa"/>
            <w:vMerge w:val="continue"/>
            <w:tcBorders>
              <w:left w:val="single" w:sz="4" w:space="0" w:color="000000"/>
              <w:bottom w:val="single" w:sz="4" w:space="0" w:color="000000"/>
            </w:tcBorders>
            <w:vAlign w:val="center"/>
          </w:tcPr>
          <w:p>
            <w:pPr>
              <w:pStyle w:val="Zawartotabeli"/>
              <w:widowControl w:val="false"/>
              <w:numPr>
                <w:ilvl w:val="0"/>
                <w:numId w:val="0"/>
              </w:numPr>
              <w:suppressLineNumbers/>
              <w:tabs>
                <w:tab w:val="clear" w:pos="708"/>
                <w:tab w:val="left" w:pos="1020" w:leader="none"/>
              </w:tabs>
              <w:suppressAutoHyphens w:val="true"/>
              <w:bidi w:val="0"/>
              <w:snapToGrid w:val="false"/>
              <w:spacing w:before="0" w:after="0"/>
              <w:ind w:hanging="0" w:left="340" w:right="340"/>
              <w:jc w:val="center"/>
              <w:rPr>
                <w:rFonts w:ascii="Tahoma" w:hAnsi="Tahoma" w:cs="Tahoma"/>
                <w:b w:val="false"/>
                <w:bCs w:val="false"/>
                <w:sz w:val="21"/>
                <w:szCs w:val="21"/>
              </w:rPr>
            </w:pPr>
            <w:r>
              <w:rPr>
                <w:rFonts w:cs="Tahoma" w:ascii="Tahoma" w:hAnsi="Tahoma"/>
                <w:b w:val="false"/>
                <w:bCs w:val="false"/>
                <w:sz w:val="21"/>
                <w:szCs w:val="21"/>
              </w:rPr>
            </w:r>
          </w:p>
        </w:tc>
        <w:tc>
          <w:tcPr>
            <w:tcW w:w="3499" w:type="dxa"/>
            <w:tcBorders>
              <w:left w:val="single" w:sz="4" w:space="0" w:color="000000"/>
              <w:bottom w:val="single" w:sz="4" w:space="0" w:color="000000"/>
            </w:tcBorders>
          </w:tcPr>
          <w:p>
            <w:pPr>
              <w:pStyle w:val="Normal"/>
              <w:bidi w:val="0"/>
              <w:jc w:val="center"/>
              <w:rPr>
                <w:rFonts w:ascii="Tahoma" w:hAnsi="Tahoma" w:cs="Tahoma"/>
                <w:b w:val="false"/>
                <w:i w:val="false"/>
                <w:strike w:val="false"/>
                <w:dstrike w:val="false"/>
                <w:outline w:val="false"/>
                <w:shadow w:val="false"/>
                <w:color w:val="000000"/>
                <w:sz w:val="20"/>
                <w:szCs w:val="20"/>
                <w:u w:val="none"/>
                <w:shd w:fill="FFFFFF" w:val="clear"/>
                <w:em w:val="none"/>
              </w:rPr>
            </w:pPr>
            <w:r>
              <w:rPr>
                <w:rFonts w:cs="Tahoma" w:ascii="Tahoma" w:hAnsi="Tahoma"/>
                <w:b/>
                <w:i w:val="false"/>
                <w:strike w:val="false"/>
                <w:dstrike w:val="false"/>
                <w:outline w:val="false"/>
                <w:shadow w:val="false"/>
                <w:color w:val="000000"/>
                <w:sz w:val="20"/>
                <w:szCs w:val="20"/>
                <w:u w:val="none"/>
                <w:em w:val="none"/>
              </w:rPr>
              <w:t>Serwis nowych modułów oprogramowania AMMS ( min. 350 osobodni)</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shd w:fill="FFFFFF" w:val="clear"/>
                <w:em w:val="none"/>
              </w:rPr>
            </w:pPr>
            <w:r>
              <w:rPr>
                <w:rFonts w:cs="Tahoma" w:ascii="Tahoma" w:hAnsi="Tahoma"/>
                <w:b w:val="false"/>
                <w:i w:val="false"/>
                <w:strike w:val="false"/>
                <w:dstrike w:val="false"/>
                <w:outline w:val="false"/>
                <w:shadow w:val="false"/>
                <w:color w:val="000000"/>
                <w:sz w:val="20"/>
                <w:szCs w:val="20"/>
                <w:u w:val="none"/>
                <w:shd w:fill="FFFFFF" w:val="clear"/>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shd w:fill="DDE8CB" w:val="clear"/>
                <w:lang w:val="pl-PL" w:bidi="ar-SA"/>
              </w:rPr>
            </w:pPr>
            <w:r>
              <w:rPr>
                <w:rFonts w:cs="Tahoma" w:ascii="Tahoma" w:hAnsi="Tahoma"/>
                <w:color w:val="000000"/>
                <w:sz w:val="20"/>
                <w:szCs w:val="20"/>
                <w:lang w:val="pl-PL" w:bidi="ar-SA"/>
              </w:rPr>
              <w:t>1 kpl.</w:t>
            </w:r>
          </w:p>
          <w:p>
            <w:pPr>
              <w:pStyle w:val="Normal"/>
              <w:widowControl w:val="false"/>
              <w:spacing w:before="0" w:after="160"/>
              <w:jc w:val="center"/>
              <w:rPr>
                <w:rFonts w:ascii="Tahoma" w:hAnsi="Tahoma" w:cs="Tahoma"/>
                <w:color w:val="000000"/>
                <w:sz w:val="20"/>
                <w:szCs w:val="20"/>
                <w:shd w:fill="DDE8CB" w:val="clear"/>
                <w:lang w:val="pl-PL" w:bidi="ar-SA"/>
              </w:rPr>
            </w:pPr>
            <w:r>
              <w:rPr>
                <w:rFonts w:cs="Tahoma" w:ascii="Tahoma" w:hAnsi="Tahoma"/>
                <w:color w:val="000000"/>
                <w:sz w:val="20"/>
                <w:szCs w:val="20"/>
                <w:shd w:fill="DDE8CB" w:val="clear"/>
                <w:lang w:val="pl-PL" w:bidi="ar-SA"/>
              </w:rPr>
            </w:r>
          </w:p>
        </w:tc>
        <w:tc>
          <w:tcPr>
            <w:tcW w:w="4130" w:type="dxa"/>
            <w:tcBorders>
              <w:left w:val="single" w:sz="4" w:space="0" w:color="000000"/>
              <w:bottom w:val="single" w:sz="4" w:space="0" w:color="000000"/>
            </w:tcBorders>
          </w:tcPr>
          <w:p>
            <w:pPr>
              <w:pStyle w:val="Normal"/>
              <w:widowControl w:val="false"/>
              <w:spacing w:before="0" w:after="160"/>
              <w:jc w:val="left"/>
              <w:rPr/>
            </w:pPr>
            <w:r>
              <w:rPr>
                <w:rFonts w:cs="Tahoma" w:ascii="Tahoma" w:hAnsi="Tahoma"/>
                <w:b/>
                <w:bCs/>
                <w:color w:val="000000"/>
                <w:sz w:val="20"/>
                <w:szCs w:val="20"/>
                <w:lang w:val="pl-PL" w:bidi="ar-SA"/>
              </w:rPr>
              <w:t>ZADANIE 1-</w:t>
            </w:r>
            <w:r>
              <w:rPr>
                <w:rFonts w:cs="Tahoma" w:ascii="Tahoma" w:hAnsi="Tahoma"/>
                <w:b w:val="false"/>
                <w:bCs w:val="false"/>
                <w:color w:val="000000"/>
                <w:sz w:val="20"/>
                <w:szCs w:val="20"/>
                <w:lang w:val="pl-PL" w:bidi="ar-SA"/>
              </w:rPr>
              <w:t xml:space="preserve"> Integracja i rozbudowa systemów informatycznych świadczeniobiorcy</w:t>
            </w:r>
            <w:r>
              <w:rPr>
                <w:rFonts w:cs="Tahoma" w:ascii="Tahoma" w:hAnsi="Tahoma"/>
                <w:b/>
                <w:bCs/>
                <w:color w:val="000000"/>
                <w:sz w:val="20"/>
                <w:szCs w:val="20"/>
                <w:lang w:val="pl-PL" w:bidi="ar-SA"/>
              </w:rPr>
              <w:t xml:space="preserve"> / DZIAŁANIE I - </w:t>
            </w:r>
            <w:r>
              <w:rPr>
                <w:rFonts w:cs="Tahoma" w:ascii="Tahoma" w:hAnsi="Tahoma"/>
                <w:b w:val="false"/>
                <w:bCs w:val="false"/>
                <w:color w:val="000000"/>
                <w:sz w:val="20"/>
                <w:szCs w:val="20"/>
                <w:lang w:val="pl-PL" w:bidi="ar-SA"/>
              </w:rPr>
              <w:t>Zakup/rozbudowa/integracja systemów szpitalnych</w:t>
            </w:r>
          </w:p>
        </w:tc>
      </w:tr>
      <w:tr>
        <w:trPr/>
        <w:tc>
          <w:tcPr>
            <w:tcW w:w="1080" w:type="dxa"/>
            <w:tcBorders>
              <w:left w:val="single" w:sz="4" w:space="0" w:color="000000"/>
              <w:bottom w:val="single" w:sz="4" w:space="0" w:color="000000"/>
            </w:tcBorders>
            <w:vAlign w:val="center"/>
          </w:tcPr>
          <w:p>
            <w:pPr>
              <w:pStyle w:val="Zawartotabeli"/>
              <w:widowControl w:val="false"/>
              <w:numPr>
                <w:ilvl w:val="0"/>
                <w:numId w:val="0"/>
              </w:numPr>
              <w:suppressLineNumbers/>
              <w:tabs>
                <w:tab w:val="clear" w:pos="708"/>
                <w:tab w:val="left" w:pos="1020" w:leader="none"/>
              </w:tabs>
              <w:suppressAutoHyphens w:val="true"/>
              <w:bidi w:val="0"/>
              <w:spacing w:before="0" w:after="0"/>
              <w:ind w:hanging="0" w:left="340" w:right="340"/>
              <w:jc w:val="center"/>
              <w:rPr>
                <w:rFonts w:ascii="Tahoma" w:hAnsi="Tahoma" w:cs="Tahoma"/>
                <w:b/>
                <w:bCs/>
                <w:sz w:val="28"/>
                <w:szCs w:val="28"/>
              </w:rPr>
            </w:pPr>
            <w:r>
              <w:rPr>
                <w:rFonts w:cs="Tahoma" w:ascii="Tahoma" w:hAnsi="Tahoma"/>
                <w:b/>
                <w:bCs/>
                <w:sz w:val="28"/>
                <w:szCs w:val="28"/>
              </w:rPr>
              <w:t>2</w:t>
            </w:r>
          </w:p>
        </w:tc>
        <w:tc>
          <w:tcPr>
            <w:tcW w:w="3499" w:type="dxa"/>
            <w:tcBorders>
              <w:left w:val="single" w:sz="4" w:space="0" w:color="000000"/>
              <w:bottom w:val="single" w:sz="4" w:space="0" w:color="000000"/>
            </w:tcBorders>
          </w:tcPr>
          <w:p>
            <w:pPr>
              <w:pStyle w:val="Normal"/>
              <w:bidi w:val="0"/>
              <w:jc w:val="center"/>
              <w:rPr>
                <w:rFonts w:ascii="Tahoma" w:hAnsi="Tahoma" w:cs="Tahoma"/>
                <w:b/>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Opisy Lekarskie AI</w:t>
            </w:r>
          </w:p>
          <w:p>
            <w:pPr>
              <w:pStyle w:val="Normal"/>
              <w:bidi w:val="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i w:val="false"/>
                <w:strike w:val="false"/>
                <w:dstrike w:val="false"/>
                <w:outline w:val="false"/>
                <w:shadow w:val="false"/>
                <w:color w:val="000000"/>
                <w:sz w:val="20"/>
                <w:szCs w:val="20"/>
                <w:u w:val="none"/>
                <w:em w:val="none"/>
              </w:rPr>
              <w:t>(3 licencje użytkownika) wraz z wdrożeniem</w:t>
            </w:r>
          </w:p>
          <w:p>
            <w:pPr>
              <w:pStyle w:val="Normal"/>
              <w:bidi w:val="0"/>
              <w:spacing w:before="0" w:after="160"/>
              <w:jc w:val="center"/>
              <w:rPr>
                <w:rFonts w:ascii="Tahoma" w:hAnsi="Tahoma" w:cs="Tahoma"/>
                <w:b w:val="false"/>
                <w:i w:val="false"/>
                <w:strike w:val="false"/>
                <w:dstrike w:val="false"/>
                <w:outline w:val="false"/>
                <w:shadow w:val="false"/>
                <w:color w:val="000000"/>
                <w:sz w:val="20"/>
                <w:szCs w:val="20"/>
                <w:u w:val="none"/>
                <w:em w:val="none"/>
              </w:rPr>
            </w:pPr>
            <w:r>
              <w:rPr>
                <w:rFonts w:cs="Tahoma" w:ascii="Tahoma" w:hAnsi="Tahoma"/>
                <w:b w:val="false"/>
                <w:i w:val="false"/>
                <w:strike w:val="false"/>
                <w:dstrike w:val="false"/>
                <w:outline w:val="false"/>
                <w:shadow w:val="false"/>
                <w:color w:val="000000"/>
                <w:sz w:val="20"/>
                <w:szCs w:val="20"/>
                <w:u w:val="none"/>
                <w:em w:val="none"/>
              </w:rPr>
            </w:r>
          </w:p>
        </w:tc>
        <w:tc>
          <w:tcPr>
            <w:tcW w:w="936" w:type="dxa"/>
            <w:tcBorders>
              <w:left w:val="single" w:sz="4" w:space="0" w:color="000000"/>
              <w:bottom w:val="single" w:sz="4" w:space="0" w:color="000000"/>
            </w:tcBorders>
          </w:tcPr>
          <w:p>
            <w:pPr>
              <w:pStyle w:val="Normal"/>
              <w:widowControl w:val="false"/>
              <w:spacing w:before="0" w:after="160"/>
              <w:jc w:val="center"/>
              <w:rPr>
                <w:rFonts w:ascii="Tahoma" w:hAnsi="Tahoma" w:cs="Tahoma"/>
                <w:color w:val="000000"/>
                <w:sz w:val="20"/>
                <w:szCs w:val="20"/>
                <w:lang w:val="pl-PL" w:bidi="ar-SA"/>
              </w:rPr>
            </w:pPr>
            <w:r>
              <w:rPr>
                <w:rFonts w:cs="Tahoma" w:ascii="Tahoma" w:hAnsi="Tahoma"/>
                <w:color w:val="000000"/>
                <w:sz w:val="20"/>
                <w:szCs w:val="20"/>
                <w:lang w:val="pl-PL" w:bidi="ar-SA"/>
              </w:rPr>
              <w:t>1 kpl.</w:t>
            </w:r>
          </w:p>
        </w:tc>
        <w:tc>
          <w:tcPr>
            <w:tcW w:w="4130" w:type="dxa"/>
            <w:tcBorders>
              <w:left w:val="single" w:sz="4" w:space="0" w:color="000000"/>
              <w:bottom w:val="single" w:sz="4" w:space="0" w:color="000000"/>
            </w:tcBorders>
          </w:tcPr>
          <w:p>
            <w:pPr>
              <w:pStyle w:val="Normal"/>
              <w:widowControl w:val="false"/>
              <w:spacing w:before="0" w:after="160"/>
              <w:jc w:val="left"/>
              <w:rPr>
                <w:rFonts w:ascii="Tahoma" w:hAnsi="Tahoma" w:cs="Tahoma"/>
                <w:color w:val="000000"/>
                <w:sz w:val="20"/>
                <w:szCs w:val="20"/>
                <w:lang w:val="pl-PL" w:bidi="ar-SA"/>
              </w:rPr>
            </w:pPr>
            <w:r>
              <w:rPr>
                <w:rFonts w:cs="Tahoma" w:ascii="Tahoma" w:hAnsi="Tahoma"/>
                <w:b/>
                <w:bCs/>
                <w:color w:val="000000"/>
                <w:sz w:val="20"/>
                <w:szCs w:val="20"/>
                <w:lang w:val="pl-PL" w:bidi="ar-SA"/>
              </w:rPr>
              <w:t>ZADANIE 4</w:t>
            </w:r>
            <w:r>
              <w:rPr>
                <w:rFonts w:cs="Tahoma" w:ascii="Tahoma" w:hAnsi="Tahoma"/>
                <w:color w:val="000000"/>
                <w:sz w:val="20"/>
                <w:szCs w:val="20"/>
                <w:lang w:val="pl-PL" w:bidi="ar-SA"/>
              </w:rPr>
              <w:t xml:space="preserve"> – Wdrożenie rozwiązań AI i podłączenie do centralnego repozytorium danych medycznych / </w:t>
            </w:r>
            <w:r>
              <w:rPr>
                <w:rFonts w:cs="Tahoma" w:ascii="Tahoma" w:hAnsi="Tahoma"/>
                <w:b/>
                <w:bCs/>
                <w:color w:val="000000"/>
                <w:sz w:val="20"/>
                <w:szCs w:val="20"/>
                <w:lang w:val="pl-PL" w:bidi="ar-SA"/>
              </w:rPr>
              <w:t xml:space="preserve">DZIAŁANIE II </w:t>
            </w:r>
            <w:r>
              <w:rPr>
                <w:rFonts w:cs="Tahoma" w:ascii="Tahoma" w:hAnsi="Tahoma"/>
                <w:color w:val="000000"/>
                <w:sz w:val="20"/>
                <w:szCs w:val="20"/>
                <w:lang w:val="pl-PL" w:bidi="ar-SA"/>
              </w:rPr>
              <w:t>– Zakup innych narzędzi lub systemów wykorzystujacych algorytmy AI, służących optymalizacji procesów szpitalnych oraz organizacji pracy personelu medycznegolub niemedycznego</w:t>
            </w:r>
          </w:p>
          <w:p>
            <w:pPr>
              <w:pStyle w:val="Normal"/>
              <w:widowControl w:val="false"/>
              <w:spacing w:before="0" w:after="160"/>
              <w:jc w:val="left"/>
              <w:rPr>
                <w:rFonts w:ascii="Tahoma" w:hAnsi="Tahoma" w:cs="Tahoma"/>
                <w:color w:val="000000"/>
                <w:sz w:val="20"/>
                <w:szCs w:val="20"/>
                <w:lang w:val="pl-PL" w:bidi="ar-SA"/>
              </w:rPr>
            </w:pPr>
            <w:r>
              <w:rPr>
                <w:rFonts w:cs="Tahoma" w:ascii="Tahoma" w:hAnsi="Tahoma"/>
                <w:color w:val="000000"/>
                <w:sz w:val="20"/>
                <w:szCs w:val="20"/>
                <w:lang w:val="pl-PL" w:bidi="ar-SA"/>
              </w:rPr>
            </w:r>
          </w:p>
        </w:tc>
      </w:tr>
    </w:tbl>
    <w:p>
      <w:pPr>
        <w:pStyle w:val="Normal"/>
        <w:spacing w:lineRule="auto" w:line="240"/>
        <w:jc w:val="left"/>
        <w:rPr>
          <w:rFonts w:ascii="Tahoma" w:hAnsi="Tahoma" w:eastAsia="SimSun;宋体" w:cs="Tahoma"/>
          <w:color w:val="000000"/>
          <w:sz w:val="21"/>
          <w:szCs w:val="21"/>
          <w:lang w:bidi="ne-IN"/>
        </w:rPr>
      </w:pPr>
      <w:r>
        <w:rPr>
          <w:rFonts w:eastAsia="SimSun;宋体" w:cs="Tahoma" w:ascii="Tahoma" w:hAnsi="Tahoma"/>
          <w:color w:val="000000"/>
          <w:sz w:val="21"/>
          <w:szCs w:val="21"/>
          <w:lang w:bidi="ne-IN"/>
        </w:rPr>
      </w:r>
    </w:p>
    <w:p>
      <w:pPr>
        <w:pStyle w:val="Normal"/>
        <w:widowControl w:val="false"/>
        <w:numPr>
          <w:ilvl w:val="0"/>
          <w:numId w:val="0"/>
        </w:numPr>
        <w:tabs>
          <w:tab w:val="clear" w:pos="708"/>
          <w:tab w:val="left" w:pos="709" w:leader="none"/>
        </w:tabs>
        <w:suppressAutoHyphens w:val="true"/>
        <w:overflowPunct w:val="false"/>
        <w:bidi w:val="0"/>
        <w:spacing w:lineRule="auto" w:line="252" w:before="120" w:after="60"/>
        <w:ind w:hanging="0" w:left="0" w:right="170"/>
        <w:jc w:val="both"/>
        <w:textAlignment w:val="auto"/>
        <w:rPr>
          <w:rFonts w:ascii="Tahoma" w:hAnsi="Tahoma" w:cs="Tahoma"/>
          <w:b/>
          <w:bCs/>
          <w:color w:val="000000"/>
          <w:sz w:val="21"/>
          <w:szCs w:val="21"/>
          <w:u w:val="single"/>
          <w:shd w:fill="FFFFFF" w:val="clear"/>
        </w:rPr>
      </w:pPr>
      <w:r>
        <w:rPr>
          <w:rFonts w:eastAsia="SimSun;宋体" w:cs="Tahoma" w:ascii="Tahoma" w:hAnsi="Tahoma"/>
          <w:color w:val="000000"/>
          <w:sz w:val="21"/>
          <w:szCs w:val="21"/>
          <w:shd w:fill="FFFFFF" w:val="clear"/>
          <w:lang w:bidi="ne-IN"/>
        </w:rPr>
        <w:t>4. Wykonawca zobowiązany jest zrealizować zamówienie na zasadach i warunkach opisanych w projekcie umowy stanowiącym Załącznik nr 5-5A do SWZ.</w:t>
      </w:r>
    </w:p>
    <w:p>
      <w:pPr>
        <w:pStyle w:val="Normal"/>
        <w:widowControl/>
        <w:numPr>
          <w:ilvl w:val="0"/>
          <w:numId w:val="0"/>
        </w:numPr>
        <w:shd w:val="clear" w:fill="FFFFFF"/>
        <w:tabs>
          <w:tab w:val="clear" w:pos="708"/>
          <w:tab w:val="left" w:pos="567" w:leader="none"/>
          <w:tab w:val="left" w:pos="709" w:leader="none"/>
        </w:tabs>
        <w:suppressAutoHyphens w:val="false"/>
        <w:overflowPunct w:val="false"/>
        <w:bidi w:val="0"/>
        <w:spacing w:lineRule="auto" w:line="252" w:before="0" w:after="40"/>
        <w:ind w:hanging="0" w:left="0" w:right="0"/>
        <w:jc w:val="both"/>
        <w:rPr>
          <w:rFonts w:ascii="Tahoma" w:hAnsi="Tahoma" w:cs="Tahoma"/>
          <w:color w:val="000000"/>
          <w:sz w:val="21"/>
          <w:szCs w:val="21"/>
          <w:shd w:fill="FFFFFF" w:val="clear"/>
        </w:rPr>
      </w:pPr>
      <w:r>
        <w:rPr>
          <w:rFonts w:cs="Tahoma" w:ascii="Tahoma" w:hAnsi="Tahoma"/>
          <w:b w:val="false"/>
          <w:bCs w:val="false"/>
          <w:color w:val="000000"/>
          <w:sz w:val="21"/>
          <w:szCs w:val="21"/>
          <w:u w:val="none"/>
          <w:shd w:fill="FFFFFF" w:val="clear"/>
        </w:rPr>
        <w:t>5. Po</w:t>
      </w:r>
      <w:r>
        <w:rPr>
          <w:rFonts w:cs="Tahoma" w:ascii="Tahoma" w:hAnsi="Tahoma"/>
          <w:color w:val="000000"/>
          <w:sz w:val="21"/>
          <w:szCs w:val="21"/>
          <w:shd w:fill="FFFFFF" w:val="clear"/>
        </w:rPr>
        <w:t xml:space="preserve">dane nazwy własne mają charakter wyłącznie informacyjno - pomocniczy w przygotowaniu oferty i mają na celu wskazać oczekiwane standardy co do minimalnych parametrów dla określenia przedmiotu zamówienia. Zamawiający </w:t>
      </w:r>
      <w:r>
        <w:rPr>
          <w:rFonts w:cs="Tahoma" w:ascii="Tahoma" w:hAnsi="Tahoma"/>
          <w:b/>
          <w:bCs/>
          <w:color w:val="000000"/>
          <w:sz w:val="21"/>
          <w:szCs w:val="21"/>
          <w:u w:val="single"/>
          <w:shd w:fill="FFFFFF" w:val="clear"/>
        </w:rPr>
        <w:t xml:space="preserve">dopuszcza składanie ofert równoważnych </w:t>
      </w:r>
      <w:r>
        <w:rPr>
          <w:rFonts w:cs="Tahoma" w:ascii="Tahoma" w:hAnsi="Tahoma"/>
          <w:color w:val="000000"/>
          <w:sz w:val="21"/>
          <w:szCs w:val="21"/>
          <w:shd w:fill="FFFFFF" w:val="clear"/>
        </w:rPr>
        <w:t>pod warunkiem, że zaoferowane odpowiedniki nie będą odbiegać od norm, parametrów jakościowych, wydajnościowych wskazanych w opisie przez Zamawiającego.</w:t>
      </w:r>
    </w:p>
    <w:p>
      <w:pPr>
        <w:pStyle w:val="Normal"/>
        <w:widowControl/>
        <w:numPr>
          <w:ilvl w:val="0"/>
          <w:numId w:val="0"/>
        </w:numPr>
        <w:shd w:val="clear" w:fill="FFFFFF"/>
        <w:tabs>
          <w:tab w:val="clear" w:pos="708"/>
          <w:tab w:val="left" w:pos="567" w:leader="none"/>
          <w:tab w:val="left" w:pos="709" w:leader="none"/>
        </w:tabs>
        <w:suppressAutoHyphens w:val="false"/>
        <w:overflowPunct w:val="false"/>
        <w:bidi w:val="0"/>
        <w:spacing w:lineRule="auto" w:line="252" w:before="0" w:after="40"/>
        <w:ind w:hanging="0" w:left="0" w:right="0"/>
        <w:jc w:val="both"/>
        <w:rPr>
          <w:rFonts w:ascii="Tahoma" w:hAnsi="Tahoma" w:eastAsia="ArialNarrow;Arial" w:cs="Tahoma"/>
          <w:color w:val="000000"/>
          <w:sz w:val="21"/>
          <w:szCs w:val="21"/>
        </w:rPr>
      </w:pPr>
      <w:r>
        <w:rPr>
          <w:rFonts w:cs="Tahoma" w:ascii="Tahoma" w:hAnsi="Tahoma"/>
          <w:color w:val="000000"/>
          <w:sz w:val="21"/>
          <w:szCs w:val="21"/>
          <w:shd w:fill="FFFFFF" w:val="clear"/>
        </w:rPr>
        <w:t>6. Przedmiot zamówienia został podzielony na 2 części/pakiety. Zmawiający dopuszcza składanie ofert częścio</w:t>
      </w:r>
      <w:r>
        <w:rPr>
          <w:rFonts w:cs="Tahoma" w:ascii="Tahoma" w:hAnsi="Tahoma"/>
          <w:color w:val="000000"/>
          <w:sz w:val="21"/>
          <w:szCs w:val="21"/>
        </w:rPr>
        <w:t>wych</w:t>
      </w:r>
      <w:r>
        <w:rPr>
          <w:rFonts w:eastAsia="ArialNarrow;Arial" w:cs="Tahoma" w:ascii="Tahoma" w:hAnsi="Tahoma"/>
          <w:color w:val="000000"/>
          <w:sz w:val="21"/>
          <w:szCs w:val="21"/>
        </w:rPr>
        <w:t xml:space="preserve"> na dowolną liczbę części/pakietów z zastrzeżeniem, że </w:t>
      </w:r>
      <w:r>
        <w:rPr>
          <w:rFonts w:cs="Tahoma" w:ascii="Tahoma" w:hAnsi="Tahoma"/>
          <w:color w:val="000000"/>
          <w:sz w:val="21"/>
          <w:szCs w:val="21"/>
        </w:rPr>
        <w:t>nie mogą być dzielone, tj oferty muszą zwierać pełen zakres przedmiotu zamówienia określony w danej części/pakiecie.</w:t>
      </w:r>
      <w:r>
        <w:rPr>
          <w:rFonts w:eastAsia="ArialNarrow;Arial" w:cs="Tahoma" w:ascii="Tahoma" w:hAnsi="Tahoma"/>
          <w:color w:val="000000"/>
          <w:sz w:val="21"/>
          <w:szCs w:val="21"/>
        </w:rPr>
        <w:t xml:space="preserve"> </w:t>
      </w:r>
    </w:p>
    <w:p>
      <w:pPr>
        <w:pStyle w:val="Normal"/>
        <w:shd w:val="clear" w:fill="FFFFFF"/>
        <w:tabs>
          <w:tab w:val="clear" w:pos="708"/>
          <w:tab w:val="left" w:pos="567" w:leader="none"/>
          <w:tab w:val="left" w:pos="709" w:leader="none"/>
        </w:tabs>
        <w:suppressAutoHyphens w:val="false"/>
        <w:spacing w:before="0" w:after="40"/>
        <w:ind w:right="0"/>
        <w:jc w:val="both"/>
        <w:rPr>
          <w:rFonts w:ascii="Tahoma" w:hAnsi="Tahoma" w:cs="Tahoma"/>
          <w:b w:val="false"/>
          <w:bCs w:val="false"/>
          <w:color w:val="000000"/>
          <w:sz w:val="21"/>
          <w:szCs w:val="21"/>
          <w:lang w:val="pl-PL" w:bidi="ar-SA"/>
        </w:rPr>
      </w:pPr>
      <w:r>
        <w:rPr>
          <w:rFonts w:eastAsia="ArialNarrow;Arial" w:cs="Tahoma" w:ascii="Tahoma" w:hAnsi="Tahoma"/>
          <w:color w:val="000000"/>
          <w:sz w:val="21"/>
          <w:szCs w:val="21"/>
        </w:rPr>
        <w:t xml:space="preserve">7. </w:t>
      </w:r>
      <w:r>
        <w:rPr>
          <w:rFonts w:eastAsia="ArialNarrow;Arial" w:cs="Tahoma" w:ascii="Tahoma" w:hAnsi="Tahoma"/>
          <w:color w:val="000000"/>
          <w:sz w:val="21"/>
          <w:szCs w:val="21"/>
          <w:lang w:bidi="ne-IN"/>
        </w:rPr>
        <w:t xml:space="preserve">Zamawiający oczekuje wyrobów wysokiej jakości, spełniających wszystkie funkcje zgodnie z ich przeznaczeniem. Oferowany przedmioty zamówienia musi bezwzględnie spełniać wymogi szczegółowo opisane w danym Pakiecie. </w:t>
      </w:r>
    </w:p>
    <w:p>
      <w:pPr>
        <w:pStyle w:val="Normal"/>
        <w:spacing w:before="0" w:after="0"/>
        <w:jc w:val="both"/>
        <w:rPr>
          <w:rFonts w:ascii="Tahoma" w:hAnsi="Tahoma" w:cs="Tahoma"/>
          <w:b w:val="false"/>
          <w:bCs w:val="false"/>
          <w:i w:val="false"/>
          <w:iCs w:val="false"/>
          <w:color w:val="000000"/>
          <w:sz w:val="21"/>
          <w:szCs w:val="21"/>
          <w:lang w:val="pl-PL" w:bidi="ar-SA"/>
        </w:rPr>
      </w:pPr>
      <w:r>
        <w:rPr>
          <w:rFonts w:cs="Tahoma" w:ascii="Tahoma" w:hAnsi="Tahoma"/>
          <w:b w:val="false"/>
          <w:bCs w:val="false"/>
          <w:color w:val="000000"/>
          <w:sz w:val="21"/>
          <w:szCs w:val="21"/>
          <w:lang w:val="pl-PL" w:bidi="ar-SA"/>
        </w:rPr>
        <w:t>8.</w:t>
      </w:r>
      <w:r>
        <w:rPr>
          <w:rFonts w:cs="Tahoma" w:ascii="Tahoma" w:hAnsi="Tahoma"/>
          <w:color w:val="000000"/>
          <w:sz w:val="21"/>
          <w:szCs w:val="21"/>
          <w:lang w:val="pl-PL" w:bidi="ar-SA"/>
        </w:rPr>
        <w:t xml:space="preserve"> Jeżeli Wykonawca powoła się na rozwiązania równoważne to jest zobowiązany wykazać, że oferowany przez niego przedmiot zamówienia spełnia wymogi/parametry Zamawiającego. Wykonawca w takim przypadku obowiązany jest przedstawić   w ofercie wykaz rozwiązań równoważnych, pozycję, której rozwiązanie równoważne dotyczy oraz szczegółowy opis rozwiązania równoważnego. Celem Zamawiającego jest jedynie pozyskanie w jak najniższych kosztach łącznych przedmiotu zamówienia najwyższej jakości i funkcjonalności zgodnie z art. 101 ust 5. Należy d</w:t>
      </w:r>
      <w:r>
        <w:rPr>
          <w:rFonts w:eastAsia="Calibri" w:cs="Tahoma" w:ascii="Tahoma" w:hAnsi="Tahoma"/>
          <w:color w:val="000000"/>
          <w:sz w:val="21"/>
          <w:szCs w:val="21"/>
          <w:lang w:val="pl-PL" w:eastAsia="zh-CN" w:bidi="ar-SA"/>
        </w:rPr>
        <w:t xml:space="preserve">ołączyć </w:t>
      </w:r>
      <w:r>
        <w:rPr>
          <w:rFonts w:cs="Tahoma" w:ascii="Tahoma" w:hAnsi="Tahoma"/>
          <w:color w:val="000000"/>
          <w:sz w:val="21"/>
          <w:szCs w:val="21"/>
          <w:lang w:val="pl-PL" w:bidi="ar-SA"/>
        </w:rPr>
        <w:t xml:space="preserve"> oświadczenie, o potwierdzeniu, że oferowane urządzenia są zgodne z obowiązującymi  normami.</w:t>
      </w:r>
    </w:p>
    <w:p>
      <w:pPr>
        <w:pStyle w:val="Normal"/>
        <w:spacing w:before="0" w:after="0"/>
        <w:jc w:val="left"/>
        <w:rPr>
          <w:rFonts w:ascii="Tahoma" w:hAnsi="Tahoma"/>
          <w:sz w:val="21"/>
          <w:szCs w:val="21"/>
        </w:rPr>
      </w:pPr>
      <w:r>
        <w:rPr>
          <w:rFonts w:cs="Tahoma" w:ascii="Tahoma" w:hAnsi="Tahoma"/>
          <w:b w:val="false"/>
          <w:bCs w:val="false"/>
          <w:i w:val="false"/>
          <w:iCs w:val="false"/>
          <w:color w:val="000000"/>
          <w:sz w:val="21"/>
          <w:szCs w:val="21"/>
          <w:lang w:val="pl-PL" w:bidi="ar-SA"/>
        </w:rPr>
        <w:t>9. Wykonawca winien uwzględnić w cenie oferty wszystkie przewidywane koszty realizacji zamówienia, które będą miały wpływ na cenę oferty.</w:t>
      </w:r>
    </w:p>
    <w:p>
      <w:pPr>
        <w:pStyle w:val="Normal"/>
        <w:spacing w:before="0" w:after="0"/>
        <w:jc w:val="left"/>
        <w:rPr>
          <w:rFonts w:ascii="Tahoma" w:hAnsi="Tahoma"/>
          <w:sz w:val="21"/>
          <w:szCs w:val="21"/>
        </w:rPr>
      </w:pPr>
      <w:r>
        <w:rPr>
          <w:rFonts w:cs="Tahoma" w:ascii="Tahoma" w:hAnsi="Tahoma"/>
          <w:b w:val="false"/>
          <w:bCs w:val="false"/>
          <w:i w:val="false"/>
          <w:iCs w:val="false"/>
          <w:color w:val="000000"/>
          <w:sz w:val="21"/>
          <w:szCs w:val="21"/>
          <w:lang w:val="pl-PL" w:bidi="ar-SA"/>
        </w:rPr>
        <w:t>10.</w:t>
      </w:r>
      <w:r>
        <w:rPr>
          <w:rFonts w:cs="Calibri" w:ascii="Tahoma" w:hAnsi="Tahoma"/>
          <w:b w:val="false"/>
          <w:bCs w:val="false"/>
          <w:i w:val="false"/>
          <w:iCs w:val="false"/>
          <w:color w:val="auto"/>
          <w:sz w:val="21"/>
          <w:szCs w:val="21"/>
          <w:lang w:val="pl-PL" w:bidi="ar-SA"/>
        </w:rPr>
        <w:t xml:space="preserve"> Zamawiający wymaga </w:t>
      </w:r>
      <w:r>
        <w:rPr>
          <w:rFonts w:cs="Calibri" w:ascii="Tahoma" w:hAnsi="Tahoma"/>
          <w:b/>
          <w:bCs/>
          <w:i w:val="false"/>
          <w:iCs w:val="false"/>
          <w:color w:val="auto"/>
          <w:sz w:val="21"/>
          <w:szCs w:val="21"/>
          <w:lang w:val="pl-PL" w:bidi="ar-SA"/>
        </w:rPr>
        <w:t xml:space="preserve">36 – miesięcznej Gwarancji ( nadzoru), </w:t>
      </w:r>
      <w:r>
        <w:rPr>
          <w:rFonts w:cs="DejaVu Sans" w:ascii="Tahoma" w:hAnsi="Tahoma" w:cstheme="minorBidi"/>
          <w:b w:val="false"/>
          <w:bCs w:val="false"/>
          <w:i w:val="false"/>
          <w:iCs w:val="false"/>
          <w:color w:val="auto"/>
          <w:sz w:val="21"/>
          <w:szCs w:val="21"/>
          <w:lang w:val="pl-PL" w:bidi="ar-SA"/>
        </w:rPr>
        <w:t xml:space="preserve">liczonej od dnia Odbioru Końcowego </w:t>
      </w:r>
    </w:p>
    <w:p>
      <w:pPr>
        <w:pStyle w:val="Normal"/>
        <w:spacing w:before="0" w:after="0"/>
        <w:jc w:val="left"/>
        <w:rPr>
          <w:rFonts w:ascii="Tahoma" w:hAnsi="Tahoma" w:cs="Tahoma"/>
          <w:b w:val="false"/>
          <w:i w:val="false"/>
          <w:iCs w:val="false"/>
          <w:color w:val="000000"/>
          <w:sz w:val="21"/>
          <w:szCs w:val="21"/>
          <w:shd w:fill="FFFFFF" w:val="clear"/>
        </w:rPr>
      </w:pPr>
      <w:r>
        <w:rPr>
          <w:rFonts w:eastAsia="Arial" w:cs="Tahoma" w:ascii="Tahoma" w:hAnsi="Tahoma"/>
          <w:b w:val="false"/>
          <w:bCs w:val="false"/>
          <w:i w:val="false"/>
          <w:iCs w:val="false"/>
          <w:color w:val="000000"/>
          <w:sz w:val="21"/>
          <w:szCs w:val="21"/>
          <w:u w:val="none"/>
          <w:lang w:val="pl-PL" w:eastAsia="zh-CN" w:bidi="ar-SA"/>
        </w:rPr>
        <w:t>11.</w:t>
      </w:r>
      <w:r>
        <w:rPr>
          <w:rFonts w:eastAsia="Arial" w:cs="Tahoma" w:ascii="Tahoma" w:hAnsi="Tahoma"/>
          <w:b w:val="false"/>
          <w:bCs w:val="false"/>
          <w:i w:val="false"/>
          <w:iCs w:val="false"/>
          <w:color w:val="000000"/>
          <w:sz w:val="21"/>
          <w:szCs w:val="21"/>
          <w:u w:val="none"/>
          <w:shd w:fill="FFFFFF" w:val="clear"/>
          <w:lang w:val="pl-PL" w:eastAsia="zh-CN" w:bidi="ar-SA"/>
        </w:rPr>
        <w:t>Wykonawca przejmuje na siebie obowiązki wytwórcy odpadów w rozumieniu ustawy z dnia 14 grudnia 2012 r.  o odpadach ( Dz.U. z 2023 r poz. 1587 ), bez prawa do dodatkowego wynagrodzenia. Wykonawca musi być zarejestrowany w systemie BDO.- jeżeli wymaga tego prawo.</w:t>
      </w:r>
    </w:p>
    <w:p>
      <w:pPr>
        <w:pStyle w:val="Normal"/>
        <w:spacing w:lineRule="auto" w:line="240" w:before="0" w:after="0"/>
        <w:rPr>
          <w:rFonts w:ascii="Tahoma" w:hAnsi="Tahoma" w:cs="Tahoma"/>
          <w:b w:val="false"/>
          <w:i w:val="false"/>
          <w:iCs w:val="false"/>
          <w:strike w:val="false"/>
          <w:dstrike w:val="false"/>
          <w:sz w:val="21"/>
          <w:szCs w:val="21"/>
          <w:u w:val="none"/>
        </w:rPr>
      </w:pPr>
      <w:r>
        <w:rPr>
          <w:rFonts w:cs="Tahoma" w:ascii="Tahoma" w:hAnsi="Tahoma"/>
          <w:b w:val="false"/>
          <w:i w:val="false"/>
          <w:iCs w:val="false"/>
          <w:color w:val="000000"/>
          <w:sz w:val="21"/>
          <w:szCs w:val="21"/>
          <w:shd w:fill="FFFFFF" w:val="clear"/>
        </w:rPr>
        <w:t>12. Zamawiający informuje, że zamówienie musi być zgodne z ,,</w:t>
      </w:r>
      <w:r>
        <w:rPr>
          <w:rFonts w:cs="Tahoma" w:ascii="Tahoma" w:hAnsi="Tahoma"/>
          <w:b/>
          <w:i w:val="false"/>
          <w:iCs w:val="false"/>
          <w:strike w:val="false"/>
          <w:dstrike w:val="false"/>
          <w:color w:val="000000"/>
          <w:sz w:val="21"/>
          <w:szCs w:val="21"/>
          <w:u w:val="none"/>
          <w:shd w:fill="FFFFFF" w:val="clear"/>
        </w:rPr>
        <w:t xml:space="preserve">Zasadą DNSH </w:t>
      </w:r>
      <w:r>
        <w:rPr>
          <w:rFonts w:cs="Tahoma" w:ascii="Tahoma" w:hAnsi="Tahoma"/>
          <w:b w:val="false"/>
          <w:i w:val="false"/>
          <w:iCs w:val="false"/>
          <w:strike w:val="false"/>
          <w:dstrike w:val="false"/>
          <w:color w:val="000000"/>
          <w:sz w:val="21"/>
          <w:szCs w:val="21"/>
          <w:u w:val="none"/>
          <w:shd w:fill="FFFFFF" w:val="clear"/>
        </w:rPr>
        <w:t>(„nie czyń poważnej szkody”; ang. „Do No Significant Harm”)  która jest zasadą dotyczącą niewspierania ani nieprowadzenia działalności gospodarczej, która powoduje znaczące szkody (poważne szkody, posiada znaczący negatywny wpływ) dla któregokolwiek z celów środowiskowych</w:t>
      </w:r>
      <w:r>
        <w:rPr>
          <w:rFonts w:cs="Tahoma" w:ascii="Tahoma" w:hAnsi="Tahoma"/>
          <w:b w:val="false"/>
          <w:strike w:val="false"/>
          <w:dstrike w:val="false"/>
          <w:color w:val="000000"/>
          <w:sz w:val="21"/>
          <w:szCs w:val="21"/>
          <w:u w:val="none"/>
          <w:shd w:fill="FFFFFF" w:val="clear"/>
        </w:rPr>
        <w:t xml:space="preserve"> </w:t>
      </w:r>
      <w:r>
        <w:rPr>
          <w:rFonts w:cs="Tahoma" w:ascii="Tahoma" w:hAnsi="Tahoma"/>
          <w:b w:val="false"/>
          <w:i w:val="false"/>
          <w:iCs w:val="false"/>
          <w:strike w:val="false"/>
          <w:dstrike w:val="false"/>
          <w:color w:val="000000"/>
          <w:sz w:val="21"/>
          <w:szCs w:val="21"/>
          <w:u w:val="none"/>
          <w:shd w:fill="FFFFFF" w:val="clear"/>
        </w:rPr>
        <w:t xml:space="preserve">takich jak: </w:t>
      </w:r>
    </w:p>
    <w:p>
      <w:pPr>
        <w:pStyle w:val="Default"/>
        <w:spacing w:lineRule="auto" w:line="240"/>
        <w:rPr>
          <w:rFonts w:ascii="Tahoma" w:hAnsi="Tahoma" w:cs="Tahoma"/>
          <w:b w:val="false"/>
          <w:i w:val="false"/>
          <w:iCs w:val="false"/>
          <w:strike w:val="false"/>
          <w:dstrike w:val="false"/>
          <w:sz w:val="21"/>
          <w:szCs w:val="21"/>
          <w:u w:val="none"/>
        </w:rPr>
      </w:pPr>
      <w:r>
        <w:rPr>
          <w:rFonts w:cs="Tahoma" w:ascii="Tahoma" w:hAnsi="Tahoma"/>
          <w:b w:val="false"/>
          <w:i w:val="false"/>
          <w:iCs w:val="false"/>
          <w:strike w:val="false"/>
          <w:dstrike w:val="false"/>
          <w:sz w:val="21"/>
          <w:szCs w:val="21"/>
          <w:u w:val="none"/>
        </w:rPr>
        <w:t xml:space="preserve">1) łagodzenie zmian klimatu, </w:t>
      </w:r>
    </w:p>
    <w:p>
      <w:pPr>
        <w:pStyle w:val="Default"/>
        <w:spacing w:lineRule="auto" w:line="240"/>
        <w:rPr>
          <w:rFonts w:ascii="Tahoma" w:hAnsi="Tahoma" w:cs="Tahoma"/>
          <w:b w:val="false"/>
          <w:i w:val="false"/>
          <w:iCs w:val="false"/>
          <w:strike w:val="false"/>
          <w:dstrike w:val="false"/>
          <w:sz w:val="21"/>
          <w:szCs w:val="21"/>
          <w:u w:val="none"/>
        </w:rPr>
      </w:pPr>
      <w:r>
        <w:rPr>
          <w:rFonts w:cs="Tahoma" w:ascii="Tahoma" w:hAnsi="Tahoma"/>
          <w:b w:val="false"/>
          <w:i w:val="false"/>
          <w:iCs w:val="false"/>
          <w:strike w:val="false"/>
          <w:dstrike w:val="false"/>
          <w:sz w:val="21"/>
          <w:szCs w:val="21"/>
          <w:u w:val="none"/>
        </w:rPr>
        <w:t xml:space="preserve">2) adaptacja do zmian klimatu, </w:t>
      </w:r>
    </w:p>
    <w:p>
      <w:pPr>
        <w:pStyle w:val="Default"/>
        <w:spacing w:lineRule="auto" w:line="240"/>
        <w:rPr>
          <w:rFonts w:ascii="Tahoma" w:hAnsi="Tahoma" w:cs="Tahoma"/>
          <w:b w:val="false"/>
          <w:i w:val="false"/>
          <w:iCs w:val="false"/>
          <w:strike w:val="false"/>
          <w:dstrike w:val="false"/>
          <w:sz w:val="21"/>
          <w:szCs w:val="21"/>
          <w:u w:val="none"/>
        </w:rPr>
      </w:pPr>
      <w:r>
        <w:rPr>
          <w:rFonts w:cs="Tahoma" w:ascii="Tahoma" w:hAnsi="Tahoma"/>
          <w:b w:val="false"/>
          <w:i w:val="false"/>
          <w:iCs w:val="false"/>
          <w:strike w:val="false"/>
          <w:dstrike w:val="false"/>
          <w:sz w:val="21"/>
          <w:szCs w:val="21"/>
          <w:u w:val="none"/>
        </w:rPr>
        <w:t xml:space="preserve">3) zrównoważone wykorzystanie i ochrona zasobów wodnych i morskich, </w:t>
      </w:r>
    </w:p>
    <w:p>
      <w:pPr>
        <w:pStyle w:val="Default"/>
        <w:spacing w:lineRule="auto" w:line="240"/>
        <w:rPr>
          <w:rFonts w:ascii="Tahoma" w:hAnsi="Tahoma" w:cs="Tahoma"/>
          <w:b w:val="false"/>
          <w:i w:val="false"/>
          <w:iCs w:val="false"/>
          <w:strike w:val="false"/>
          <w:dstrike w:val="false"/>
          <w:sz w:val="21"/>
          <w:szCs w:val="21"/>
          <w:u w:val="none"/>
        </w:rPr>
      </w:pPr>
      <w:r>
        <w:rPr>
          <w:rFonts w:cs="Tahoma" w:ascii="Tahoma" w:hAnsi="Tahoma"/>
          <w:b w:val="false"/>
          <w:i w:val="false"/>
          <w:iCs w:val="false"/>
          <w:strike w:val="false"/>
          <w:dstrike w:val="false"/>
          <w:sz w:val="21"/>
          <w:szCs w:val="21"/>
          <w:u w:val="none"/>
        </w:rPr>
        <w:t xml:space="preserve">4) gospodarka o obiegu zamkniętym, </w:t>
      </w:r>
    </w:p>
    <w:p>
      <w:pPr>
        <w:pStyle w:val="Default"/>
        <w:spacing w:lineRule="auto" w:line="240"/>
        <w:rPr>
          <w:rFonts w:ascii="Tahoma" w:hAnsi="Tahoma" w:cs="Tahoma"/>
          <w:b w:val="false"/>
          <w:i w:val="false"/>
          <w:iCs w:val="false"/>
          <w:strike w:val="false"/>
          <w:dstrike w:val="false"/>
          <w:color w:val="000000"/>
          <w:sz w:val="21"/>
          <w:szCs w:val="21"/>
          <w:u w:val="none"/>
          <w:shd w:fill="FFFFFF" w:val="clear"/>
        </w:rPr>
      </w:pPr>
      <w:r>
        <w:rPr>
          <w:rFonts w:cs="Tahoma" w:ascii="Tahoma" w:hAnsi="Tahoma"/>
          <w:b w:val="false"/>
          <w:i w:val="false"/>
          <w:iCs w:val="false"/>
          <w:strike w:val="false"/>
          <w:dstrike w:val="false"/>
          <w:sz w:val="21"/>
          <w:szCs w:val="21"/>
          <w:u w:val="none"/>
        </w:rPr>
        <w:t xml:space="preserve">5) zapobieganie zanieczyszczeniu i jego kontroli, </w:t>
      </w:r>
    </w:p>
    <w:p>
      <w:pPr>
        <w:pStyle w:val="Normal"/>
        <w:spacing w:lineRule="auto" w:line="240"/>
        <w:rPr>
          <w:rFonts w:ascii="Tahoma" w:hAnsi="Tahoma" w:eastAsia="Arial" w:cs="Tahoma"/>
          <w:b w:val="false"/>
          <w:bCs w:val="false"/>
          <w:i w:val="false"/>
          <w:iCs w:val="false"/>
          <w:strike w:val="false"/>
          <w:dstrike w:val="false"/>
          <w:color w:val="000000"/>
          <w:sz w:val="21"/>
          <w:szCs w:val="21"/>
          <w:u w:val="none"/>
          <w:shd w:fill="FFFF00" w:val="clear"/>
          <w:lang w:val="pl-PL" w:eastAsia="zh-CN" w:bidi="ar-SA"/>
        </w:rPr>
      </w:pPr>
      <w:r>
        <w:rPr>
          <w:rFonts w:cs="Tahoma" w:ascii="Tahoma" w:hAnsi="Tahoma"/>
          <w:b w:val="false"/>
          <w:i w:val="false"/>
          <w:iCs w:val="false"/>
          <w:strike w:val="false"/>
          <w:dstrike w:val="false"/>
          <w:color w:val="000000"/>
          <w:sz w:val="21"/>
          <w:szCs w:val="21"/>
          <w:u w:val="none"/>
          <w:shd w:fill="FFFFFF" w:val="clear"/>
        </w:rPr>
        <w:t>6) ochrona i odbudowa bioróżnorodności i ekosystemów.</w:t>
      </w:r>
    </w:p>
    <w:p>
      <w:pPr>
        <w:pStyle w:val="Normal"/>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Za wystarczające Zamawiający uzna dostarczenie przez Wykonawcę wraz z dostawą:</w:t>
      </w:r>
    </w:p>
    <w:p>
      <w:pPr>
        <w:pStyle w:val="Normal"/>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W zakresie pakietu nr 1:</w:t>
      </w:r>
    </w:p>
    <w:p>
      <w:pPr>
        <w:pStyle w:val="Normal"/>
        <w:numPr>
          <w:ilvl w:val="0"/>
          <w:numId w:val="3"/>
        </w:numPr>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oświadczenie o przestrzeganiu sześciu celów środowiskowych DNSH,</w:t>
      </w:r>
    </w:p>
    <w:p>
      <w:pPr>
        <w:pStyle w:val="Normal"/>
        <w:numPr>
          <w:ilvl w:val="0"/>
          <w:numId w:val="3"/>
        </w:numPr>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certyfikatu ISO 14001:2015 (zarządzanie środowiskowe obejmujące pełny cykl życia produktu),</w:t>
      </w:r>
    </w:p>
    <w:p>
      <w:pPr>
        <w:pStyle w:val="Normal"/>
        <w:numPr>
          <w:ilvl w:val="0"/>
          <w:numId w:val="3"/>
        </w:numPr>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informacji zawartych w Sprawozdawczości zrównoważonego rozwoju, stanowiącej część Sprawozdania z działalności Grupy Wykonawcy, podlegającej atestacji niezależnej firmy audytorskiej</w:t>
      </w:r>
    </w:p>
    <w:p>
      <w:pPr>
        <w:pStyle w:val="Normal"/>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W zakresie pakietu nr 2:</w:t>
      </w:r>
    </w:p>
    <w:p>
      <w:pPr>
        <w:pStyle w:val="Normal"/>
        <w:bidi w:val="0"/>
        <w:spacing w:lineRule="auto" w:line="240" w:before="0" w:after="0"/>
        <w:jc w:val="left"/>
        <w:rPr>
          <w:highlight w:val="none"/>
          <w:shd w:fill="FFFFFF" w:val="clear"/>
        </w:rPr>
      </w:pPr>
      <w:r>
        <w:rPr>
          <w:rFonts w:ascii="Tahoma" w:hAnsi="Tahoma"/>
          <w:b w:val="false"/>
          <w:bCs w:val="false"/>
          <w:i w:val="false"/>
          <w:strike w:val="false"/>
          <w:dstrike w:val="false"/>
          <w:outline w:val="false"/>
          <w:shadow w:val="false"/>
          <w:color w:val="000000"/>
          <w:sz w:val="21"/>
          <w:szCs w:val="21"/>
          <w:u w:val="none"/>
          <w:shd w:fill="FFFFFF" w:val="clear"/>
          <w:em w:val="none"/>
        </w:rPr>
        <w:t>a)  oświadczenie o przestrzeganiu sześciu celów środowiskowych DNSH</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Normal"/>
              <w:spacing w:before="0" w:after="160"/>
              <w:jc w:val="left"/>
              <w:rPr>
                <w:rFonts w:ascii="Tahoma" w:hAnsi="Tahoma" w:cs="Tahoma"/>
                <w:b/>
                <w:bCs/>
                <w:color w:val="000000"/>
                <w:sz w:val="20"/>
                <w:szCs w:val="20"/>
                <w:lang w:val="pl-PL" w:bidi="ar-SA"/>
              </w:rPr>
            </w:pPr>
            <w:r>
              <w:rPr>
                <w:rFonts w:cs="Tahoma" w:ascii="Tahoma" w:hAnsi="Tahoma"/>
                <w:b/>
                <w:bCs/>
                <w:color w:val="000000"/>
                <w:sz w:val="20"/>
                <w:szCs w:val="20"/>
                <w:lang w:val="pl-PL" w:bidi="ar-SA"/>
              </w:rPr>
              <w:t>V. TERMIN WYKONANIA ZAMÓWIENIA</w:t>
            </w:r>
          </w:p>
        </w:tc>
      </w:tr>
    </w:tbl>
    <w:p>
      <w:pPr>
        <w:pStyle w:val="Normal"/>
        <w:spacing w:lineRule="auto" w:line="240" w:before="57" w:after="57"/>
        <w:jc w:val="left"/>
        <w:rPr>
          <w:highlight w:val="none"/>
          <w:shd w:fill="FFFFFF" w:val="clear"/>
        </w:rPr>
      </w:pPr>
      <w:r>
        <w:rPr>
          <w:rFonts w:eastAsia="TimesNewRoman" w:cs="Tahoma" w:ascii="Tahoma" w:hAnsi="Tahoma"/>
          <w:b/>
          <w:bCs/>
          <w:i w:val="false"/>
          <w:iCs w:val="false"/>
          <w:color w:val="000000"/>
          <w:sz w:val="21"/>
          <w:szCs w:val="21"/>
          <w:shd w:fill="FFFFFF" w:val="clear"/>
          <w:lang w:val="pl-PL" w:bidi="ar-SA"/>
        </w:rPr>
        <w:t>1</w:t>
      </w:r>
      <w:r>
        <w:rPr>
          <w:rFonts w:eastAsia="TimesNewRoman" w:cs="Tahoma" w:ascii="Tahoma" w:hAnsi="Tahoma"/>
          <w:b w:val="false"/>
          <w:bCs w:val="false"/>
          <w:i w:val="false"/>
          <w:iCs w:val="false"/>
          <w:color w:val="000000"/>
          <w:sz w:val="21"/>
          <w:szCs w:val="21"/>
          <w:shd w:fill="FFFFFF" w:val="clear"/>
          <w:lang w:val="pl-PL" w:bidi="ar-SA"/>
        </w:rPr>
        <w:t xml:space="preserve">. </w:t>
      </w:r>
      <w:r>
        <w:rPr>
          <w:rFonts w:eastAsia="TimesNewRoman" w:cs="Tahoma" w:ascii="Tahoma" w:hAnsi="Tahoma"/>
          <w:b/>
          <w:bCs w:val="false"/>
          <w:i w:val="false"/>
          <w:iCs w:val="false"/>
          <w:color w:val="000000"/>
          <w:sz w:val="21"/>
          <w:szCs w:val="21"/>
          <w:shd w:fill="FFFFFF" w:val="clear"/>
          <w:lang w:val="pl-PL" w:bidi="ar-SA"/>
        </w:rPr>
        <w:t>Termin wykonania zamówienia do 30 dni od podpisania umowy,</w:t>
      </w:r>
      <w:r>
        <w:rPr>
          <w:rFonts w:eastAsia="TimesNewRoman" w:cs="Tahoma" w:ascii="Tahoma" w:hAnsi="Tahoma"/>
          <w:b/>
          <w:bCs/>
          <w:i w:val="false"/>
          <w:iCs w:val="false"/>
          <w:color w:val="auto"/>
          <w:sz w:val="21"/>
          <w:szCs w:val="21"/>
          <w:shd w:fill="FFFFFF" w:val="clear"/>
          <w:lang w:val="pl-PL" w:bidi="ar-SA"/>
        </w:rPr>
        <w:t xml:space="preserve"> jednak nie później niż do dnia 29.05.2026 r.</w:t>
      </w:r>
    </w:p>
    <w:p>
      <w:pPr>
        <w:pStyle w:val="Normal"/>
        <w:spacing w:before="0" w:after="46"/>
        <w:jc w:val="left"/>
        <w:rPr>
          <w:highlight w:val="none"/>
          <w:shd w:fill="FFFFFF" w:val="clear"/>
        </w:rPr>
      </w:pPr>
      <w:r>
        <w:rPr>
          <w:rFonts w:eastAsia="TimesNewRoman" w:cs="Tahoma" w:ascii="Tahoma" w:hAnsi="Tahoma"/>
          <w:b w:val="false"/>
          <w:bCs w:val="false"/>
          <w:i w:val="false"/>
          <w:iCs w:val="false"/>
          <w:color w:val="000000"/>
          <w:sz w:val="21"/>
          <w:szCs w:val="21"/>
          <w:shd w:fill="FFFFFF" w:val="clear"/>
          <w:lang w:val="pl-PL" w:bidi="ar-SA"/>
        </w:rPr>
        <w:t>2. Miejsce realizacji Zamówienia: Szpital Powiatowy im. Tadeusza Malińskiego w Śremie sp. z o. o., ul. Chełmońskiego 1, 63-100 Śrem</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Normal"/>
              <w:spacing w:before="0" w:after="160"/>
              <w:rPr>
                <w:rFonts w:ascii="Tahoma" w:hAnsi="Tahoma" w:cs="Tahoma"/>
                <w:b/>
                <w:bCs/>
                <w:sz w:val="20"/>
                <w:szCs w:val="20"/>
                <w:shd w:fill="DDDDDD" w:val="clear"/>
                <w:lang w:val="pl-PL" w:bidi="ar-SA"/>
              </w:rPr>
            </w:pPr>
            <w:r>
              <w:rPr>
                <w:rFonts w:cs="Tahoma" w:ascii="Tahoma" w:hAnsi="Tahoma"/>
                <w:b/>
                <w:bCs/>
                <w:sz w:val="20"/>
                <w:szCs w:val="20"/>
                <w:shd w:fill="DDDDDD" w:val="clear"/>
                <w:lang w:val="pl-PL" w:bidi="ar-SA"/>
              </w:rPr>
              <w:t>VI. WARUNKI UDZIAŁU W POSTĘPOWANIU ORAZ OPIS SPOSOBU DOKONYWANIA OCENY SPEŁNIENIA TYCH WARUNKÓW</w:t>
            </w:r>
          </w:p>
        </w:tc>
      </w:tr>
    </w:tbl>
    <w:p>
      <w:pPr>
        <w:pStyle w:val="Normal"/>
        <w:widowControl w:val="false"/>
        <w:spacing w:before="0" w:after="0"/>
        <w:ind w:right="30"/>
        <w:jc w:val="both"/>
        <w:rPr>
          <w:rFonts w:ascii="Tahoma" w:hAnsi="Tahoma" w:eastAsia="Tahoma" w:cs="Tahoma"/>
          <w:b/>
          <w:bCs/>
          <w:sz w:val="21"/>
          <w:szCs w:val="21"/>
          <w:lang w:val="pl-PL" w:bidi="ar-SA"/>
        </w:rPr>
      </w:pPr>
      <w:r>
        <w:rPr>
          <w:rFonts w:eastAsia="Tahoma" w:cs="Tahoma" w:ascii="Tahoma" w:hAnsi="Tahoma"/>
          <w:b/>
          <w:bCs/>
          <w:sz w:val="21"/>
          <w:szCs w:val="21"/>
          <w:lang w:val="pl-PL" w:bidi="ar-SA"/>
        </w:rPr>
        <w:t>1.  O udzielenie zamówienia   mogą ubiegać  się wykonawcy , którzy :</w:t>
      </w:r>
    </w:p>
    <w:p>
      <w:pPr>
        <w:pStyle w:val="Normal"/>
        <w:widowControl w:val="false"/>
        <w:spacing w:before="0" w:after="0"/>
        <w:ind w:right="30"/>
        <w:jc w:val="both"/>
        <w:rPr>
          <w:rFonts w:ascii="Tahoma" w:hAnsi="Tahoma" w:cs="Tahoma"/>
          <w:b w:val="false"/>
          <w:bCs w:val="false"/>
          <w:sz w:val="21"/>
          <w:szCs w:val="21"/>
          <w:lang w:val="pl-PL" w:bidi="ar-SA"/>
        </w:rPr>
      </w:pPr>
      <w:r>
        <w:rPr>
          <w:rFonts w:eastAsia="Tahoma" w:cs="Tahoma" w:ascii="Tahoma" w:hAnsi="Tahoma"/>
          <w:b/>
          <w:bCs/>
          <w:sz w:val="21"/>
          <w:szCs w:val="21"/>
          <w:lang w:val="pl-PL" w:bidi="ar-SA"/>
        </w:rPr>
        <w:t xml:space="preserve">     </w:t>
      </w:r>
      <w:r>
        <w:rPr>
          <w:rFonts w:eastAsia="Tahoma" w:cs="Tahoma" w:ascii="Tahoma" w:hAnsi="Tahoma"/>
          <w:b/>
          <w:bCs/>
          <w:sz w:val="21"/>
          <w:szCs w:val="21"/>
          <w:lang w:val="pl-PL" w:bidi="ar-SA"/>
        </w:rPr>
        <w:t xml:space="preserve">- </w:t>
      </w:r>
      <w:r>
        <w:rPr>
          <w:rFonts w:cs="Tahoma" w:ascii="Tahoma" w:hAnsi="Tahoma"/>
          <w:b/>
          <w:bCs/>
          <w:sz w:val="21"/>
          <w:szCs w:val="21"/>
          <w:lang w:val="pl-PL" w:bidi="ar-SA"/>
        </w:rPr>
        <w:t>nie podlegają wykluczeniu</w:t>
      </w:r>
      <w:r>
        <w:rPr>
          <w:rFonts w:cs="Tahoma" w:ascii="Tahoma" w:hAnsi="Tahoma"/>
          <w:b w:val="false"/>
          <w:bCs w:val="false"/>
          <w:sz w:val="21"/>
          <w:szCs w:val="21"/>
          <w:lang w:val="pl-PL" w:bidi="ar-SA"/>
        </w:rPr>
        <w:t>:</w:t>
      </w:r>
    </w:p>
    <w:p>
      <w:pPr>
        <w:pStyle w:val="Normal"/>
        <w:widowControl w:val="false"/>
        <w:spacing w:before="0" w:after="0"/>
        <w:ind w:right="30"/>
        <w:jc w:val="both"/>
        <w:rPr>
          <w:rFonts w:ascii="Tahoma" w:hAnsi="Tahoma" w:eastAsia="Tahoma" w:cs="Tahoma"/>
          <w:b w:val="false"/>
          <w:bCs w:val="false"/>
          <w:sz w:val="21"/>
          <w:szCs w:val="21"/>
          <w:lang w:val="pl-PL" w:bidi="ar-SA"/>
        </w:rPr>
      </w:pPr>
      <w:r>
        <w:rPr>
          <w:rFonts w:cs="Tahoma" w:ascii="Tahoma" w:hAnsi="Tahoma"/>
          <w:b w:val="false"/>
          <w:bCs w:val="false"/>
          <w:sz w:val="21"/>
          <w:szCs w:val="21"/>
          <w:lang w:val="pl-PL" w:bidi="ar-SA"/>
        </w:rPr>
        <w:t xml:space="preserve">a) Zamawiający wykluczy z postępowania Wykonawcę/ów w przypadkach, o których mowa w art.    108 ust. 1 pzp – (obligatoryjne podstawy wykluczenia), z zastrzeżeniem art 110 ust 2 pzp   </w:t>
      </w:r>
    </w:p>
    <w:p>
      <w:pPr>
        <w:pStyle w:val="Normal"/>
        <w:widowControl w:val="false"/>
        <w:spacing w:before="0" w:after="0"/>
        <w:ind w:right="30"/>
        <w:jc w:val="both"/>
        <w:rPr>
          <w:rFonts w:ascii="Tahoma" w:hAnsi="Tahoma" w:cs="Tahoma"/>
          <w:b w:val="false"/>
          <w:bCs w:val="false"/>
          <w:sz w:val="21"/>
          <w:szCs w:val="21"/>
          <w:lang w:val="pl-PL" w:bidi="ar-SA"/>
        </w:rPr>
      </w:pPr>
      <w:r>
        <w:rPr>
          <w:rFonts w:eastAsia="Tahoma" w:cs="Tahoma" w:ascii="Tahoma" w:hAnsi="Tahoma"/>
          <w:b w:val="false"/>
          <w:bCs w:val="false"/>
          <w:sz w:val="21"/>
          <w:szCs w:val="21"/>
          <w:lang w:val="pl-PL" w:bidi="ar-SA"/>
        </w:rPr>
        <w:t>Zamawiający wykluczy z postępowania o udzielenie zamówienia Wykonawcę na podstawie przepisów art.109 ust. 1 pkt 1 ustawy Pzp:</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 wykonawcę, który naruszył obowiązki dotyczące płatności podatków, opłat lub składek na ubezpieczenia społeczne lub zdrowotne, z wyjątkiem przypadku, o którym mowa w art. 108 ust. 1 pkt 3 ustawy Pzp, 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 xml:space="preserve">a także na podstawie art. 109 ust.1 pkt 4 </w:t>
      </w:r>
      <w:bookmarkStart w:id="3" w:name="_Hlk62654915"/>
      <w:r>
        <w:rPr>
          <w:rFonts w:cs="Tahoma" w:ascii="Tahoma" w:hAnsi="Tahoma"/>
          <w:b w:val="false"/>
          <w:bCs w:val="false"/>
          <w:sz w:val="21"/>
          <w:szCs w:val="21"/>
          <w:lang w:val="pl-PL" w:bidi="ar-SA"/>
        </w:rPr>
        <w:t>ustawy Pzp</w:t>
      </w:r>
      <w:bookmarkEnd w:id="3"/>
      <w:r>
        <w:rPr>
          <w:rFonts w:cs="Tahoma" w:ascii="Tahoma" w:hAnsi="Tahoma"/>
          <w:b w:val="false"/>
          <w:bCs w:val="false"/>
          <w:sz w:val="21"/>
          <w:szCs w:val="21"/>
          <w:lang w:val="pl-PL" w:bidi="ar-SA"/>
        </w:rPr>
        <w:t>:</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w:t>
        <w:br/>
        <w:t>z podobnej procedury przewidzianej w przepisach miejsca wszczęcia tej procedury</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Wykluczenie wykonawcy następuje:1) w przypadkach, o których mowa w art. 108 ust. 1 pkt 1 lit. a-g i pkt 2, na okres 5 lat od dnia uprawomocnienia się wyroku potwierdzającego zaistnienie jednej z podstaw wykluczenia, chyba że w tym wyroku został określony inny okres wykluczenia;</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2)  w przypadkach, o których mowa w:</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art. 108 ust. 1 pkt 1 lit. h i pkt 2, gdy osoba, o której mowa w tych przepisach, została prawomocnie skazana za przestępstwo, o których mowa w art. 108 ust 1 pkt 1</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3) w przypadku, o którym mowa w art. 108 ust. 1 pkt 4, na okres, na jaki został prawomocnie orzeczony zakaz ubiegania się o zamówienia publiczne;</w:t>
      </w:r>
    </w:p>
    <w:p>
      <w:pPr>
        <w:pStyle w:val="Normal"/>
        <w:widowControl w:val="false"/>
        <w:suppressAutoHyphens w:val="true"/>
        <w:overflowPunct w:val="false"/>
        <w:bidi w:val="0"/>
        <w:spacing w:before="0" w:after="0"/>
        <w:ind w:right="0"/>
        <w:jc w:val="both"/>
        <w:rPr>
          <w:rFonts w:ascii="Tahoma" w:hAnsi="Tahoma" w:cs="Tahoma"/>
          <w:b w:val="false"/>
          <w:bCs w:val="false"/>
          <w:sz w:val="21"/>
          <w:szCs w:val="21"/>
          <w:lang w:val="pl-PL" w:bidi="ar-SA"/>
        </w:rPr>
      </w:pPr>
      <w:r>
        <w:rPr>
          <w:rFonts w:cs="Tahoma" w:ascii="Tahoma" w:hAnsi="Tahoma"/>
          <w:b w:val="false"/>
          <w:bCs w:val="false"/>
          <w:sz w:val="21"/>
          <w:szCs w:val="21"/>
          <w:lang w:val="pl-PL" w:bidi="ar-SA"/>
        </w:rPr>
        <w:t>4) w przypadkach, o których mowa w art. 108 ust. 1 pkt 5, art. 109 ust. 1 pkt 4, na okres 3 lat od zaistnienia zdarzenia będącego podstawą wykluczenia;</w:t>
      </w:r>
    </w:p>
    <w:p>
      <w:pPr>
        <w:pStyle w:val="Heading2"/>
        <w:widowControl w:val="false"/>
        <w:numPr>
          <w:ilvl w:val="0"/>
          <w:numId w:val="0"/>
        </w:numPr>
        <w:suppressAutoHyphens w:val="true"/>
        <w:overflowPunct w:val="false"/>
        <w:bidi w:val="0"/>
        <w:spacing w:before="0" w:after="0"/>
        <w:ind w:hanging="0" w:left="0" w:right="0"/>
        <w:jc w:val="both"/>
        <w:rPr>
          <w:rFonts w:ascii="Tahoma" w:hAnsi="Tahoma" w:eastAsia="Calibri" w:cs="Tahoma"/>
          <w:sz w:val="21"/>
          <w:szCs w:val="21"/>
          <w:lang w:val="pl-PL" w:bidi="ar-SA"/>
        </w:rPr>
      </w:pPr>
      <w:r>
        <w:rPr>
          <w:rFonts w:cs="Tahoma"/>
          <w:b w:val="false"/>
          <w:bCs w:val="false"/>
          <w:sz w:val="21"/>
          <w:szCs w:val="21"/>
          <w:lang w:val="pl-PL" w:bidi="ar-SA"/>
        </w:rPr>
        <w:t>5) w przypadkach, o których mowa w art. 108 ust. 1 pkt 6, w postępowaniu o udzielenie zamówienia, w którym zaistniało zdarzenie będące podstawą wykluczenia.</w:t>
      </w:r>
    </w:p>
    <w:p>
      <w:pPr>
        <w:pStyle w:val="Normal"/>
        <w:widowControl w:val="false"/>
        <w:suppressAutoHyphens w:val="true"/>
        <w:overflowPunct w:val="false"/>
        <w:bidi w:val="0"/>
        <w:spacing w:before="0" w:after="0"/>
        <w:ind w:left="57" w:right="0"/>
        <w:jc w:val="both"/>
        <w:rPr>
          <w:rFonts w:ascii="Tahoma" w:hAnsi="Tahoma" w:eastAsia="Calibri" w:cs="Tahoma"/>
          <w:sz w:val="21"/>
          <w:szCs w:val="21"/>
          <w:lang w:val="pl-PL" w:bidi="ar-SA"/>
        </w:rPr>
      </w:pPr>
      <w:r>
        <w:rPr>
          <w:rFonts w:eastAsia="Calibri" w:cs="Tahoma" w:ascii="Tahoma" w:hAnsi="Tahoma"/>
          <w:sz w:val="21"/>
          <w:szCs w:val="21"/>
          <w:lang w:val="pl-PL" w:bidi="ar-SA"/>
        </w:rPr>
        <w:t xml:space="preserve">Wykonawca nie podlega wykluczeniu w okolicznościach określonych w art. 108 ust. 1 pkt 1, 2 i 5 lub art. 109 ust. 1 pkt 4,  jeżeli udowodni zamawiającemu, że spełnił łącznie następujące przesłanki określone w art. 110 ust. 2 ustawy Pzp. </w:t>
      </w:r>
    </w:p>
    <w:p>
      <w:pPr>
        <w:pStyle w:val="Normal"/>
        <w:widowControl w:val="false"/>
        <w:suppressAutoHyphens w:val="true"/>
        <w:overflowPunct w:val="false"/>
        <w:bidi w:val="0"/>
        <w:spacing w:before="0" w:after="0"/>
        <w:ind w:right="0"/>
        <w:jc w:val="both"/>
        <w:rPr>
          <w:rFonts w:ascii="Tahoma" w:hAnsi="Tahoma" w:eastAsia="Tahoma" w:cs="Tahoma"/>
          <w:b w:val="false"/>
          <w:bCs/>
          <w:iCs/>
          <w:sz w:val="21"/>
          <w:szCs w:val="21"/>
          <w:lang w:val="pl-PL" w:bidi="ar-SA"/>
        </w:rPr>
      </w:pPr>
      <w:r>
        <w:rPr>
          <w:rFonts w:eastAsia="Calibri" w:cs="Tahoma" w:ascii="Tahoma" w:hAnsi="Tahoma"/>
          <w:sz w:val="21"/>
          <w:szCs w:val="21"/>
          <w:lang w:val="pl-PL" w:bidi="ar-SA"/>
        </w:rPr>
        <w:t xml:space="preserve">Zamawiający ocenia, czy podjęte przez wykonawcę czynności, o których mowa w art. 110 ust. 2 ustawy Pzp, są wystarczające do wykazania jego rzetelności, uwzględniając wagę </w:t>
        <w:br/>
        <w:t>i szczególne okoliczności czynu wykonawcy. Jeżeli podjęte przez wykonawcę czynności, o których mowa w pkt art. 110 ust.2 ustawy Pzp nie są wystarczające do wykazania jego rzetelności, zamawiający wyklucza wykonawcę.</w:t>
      </w:r>
    </w:p>
    <w:p>
      <w:pPr>
        <w:pStyle w:val="Normal"/>
        <w:widowControl w:val="false"/>
        <w:spacing w:before="0" w:after="0"/>
        <w:ind w:right="30"/>
        <w:jc w:val="both"/>
        <w:rPr>
          <w:rFonts w:ascii="Tahoma" w:hAnsi="Tahoma" w:eastAsia="Tahoma" w:cs="Tahoma"/>
          <w:b w:val="false"/>
          <w:bCs/>
          <w:iCs/>
          <w:color w:val="000000"/>
          <w:sz w:val="21"/>
          <w:szCs w:val="21"/>
          <w:lang w:val="pl-PL" w:bidi="ar-SA"/>
        </w:rPr>
      </w:pPr>
      <w:r>
        <w:rPr>
          <w:rFonts w:eastAsia="Tahoma" w:cs="Tahoma" w:ascii="Tahoma" w:hAnsi="Tahoma"/>
          <w:b w:val="false"/>
          <w:bCs/>
          <w:iCs/>
          <w:sz w:val="21"/>
          <w:szCs w:val="21"/>
          <w:lang w:val="pl-PL" w:bidi="ar-SA"/>
        </w:rPr>
        <w:t xml:space="preserve">Zamawiający może wykluczyć Wykonawcę na każdym etapie postępowania. Ofertę złożoną przez Wykonawcę podlegającego wykluczeniu odrzuca się. </w:t>
      </w:r>
    </w:p>
    <w:p>
      <w:pPr>
        <w:pStyle w:val="Normal"/>
        <w:widowControl w:val="false"/>
        <w:spacing w:before="0" w:after="0"/>
        <w:ind w:right="30"/>
        <w:jc w:val="both"/>
        <w:rPr>
          <w:rFonts w:ascii="Tahoma" w:hAnsi="Tahoma" w:cs="Tahoma"/>
          <w:sz w:val="21"/>
          <w:szCs w:val="21"/>
        </w:rPr>
      </w:pPr>
      <w:r>
        <w:rPr>
          <w:rFonts w:eastAsia="Tahoma" w:cs="Tahoma" w:ascii="Tahoma" w:hAnsi="Tahoma"/>
          <w:b w:val="false"/>
          <w:bCs/>
          <w:iCs/>
          <w:color w:val="000000"/>
          <w:sz w:val="21"/>
          <w:szCs w:val="21"/>
          <w:lang w:val="pl-PL" w:bidi="ar-SA"/>
        </w:rPr>
        <w:t xml:space="preserve">Zamawiający może wykluczyć Wykonawcę na każdym etapie postępowania. Ofertę złożoną przez Wykonawcę podlegającego wykluczeniu odrzuca się. </w:t>
      </w:r>
    </w:p>
    <w:p>
      <w:pPr>
        <w:pStyle w:val="Normal"/>
        <w:spacing w:before="0" w:after="0"/>
        <w:rPr>
          <w:rFonts w:ascii="Tahoma" w:hAnsi="Tahoma" w:cs="Tahoma"/>
          <w:sz w:val="21"/>
          <w:szCs w:val="21"/>
        </w:rPr>
      </w:pPr>
      <w:r>
        <w:rPr>
          <w:rFonts w:cs="Tahoma" w:ascii="Tahoma" w:hAnsi="Tahoma"/>
          <w:sz w:val="21"/>
          <w:szCs w:val="21"/>
        </w:rPr>
        <w:t xml:space="preserve">6) </w:t>
      </w:r>
      <w:r>
        <w:rPr>
          <w:rFonts w:cs="Tahoma" w:ascii="Tahoma" w:hAnsi="Tahoma"/>
          <w:sz w:val="21"/>
          <w:szCs w:val="21"/>
          <w:lang w:eastAsia="pl-PL"/>
        </w:rPr>
        <w:t xml:space="preserve"> </w:t>
      </w:r>
      <w:r>
        <w:rPr>
          <w:rFonts w:cs="Tahoma" w:ascii="Tahoma" w:hAnsi="Tahoma"/>
          <w:sz w:val="21"/>
          <w:szCs w:val="21"/>
        </w:rPr>
        <w:t>na podstawie art. 7 ust. ustawy z dnia 13 kwietnia 2022 r. o szczególnych rozwiązaniach w zakresie przeciwdziałania wspieraniu agresji na Ukrainę oraz służących ochronie bezpieczeństwa narodowego (Dz. U. z 2022r poz. 8350) tj.:</w:t>
      </w:r>
    </w:p>
    <w:p>
      <w:pPr>
        <w:pStyle w:val="Normal"/>
        <w:spacing w:before="0" w:after="0"/>
        <w:rPr>
          <w:rFonts w:ascii="Tahoma" w:hAnsi="Tahoma" w:cs="Tahoma"/>
          <w:sz w:val="21"/>
          <w:szCs w:val="21"/>
        </w:rPr>
      </w:pPr>
      <w:r>
        <w:rPr>
          <w:rFonts w:cs="Tahoma" w:ascii="Tahoma" w:hAnsi="Tahoma"/>
          <w:sz w:val="21"/>
          <w:szCs w:val="21"/>
        </w:rPr>
        <w:t>a) wykonawcę oraz uczestnika konkursu wymienionego w wykazach określonych w rozporządzeniu 765/2006 i</w:t>
      </w:r>
    </w:p>
    <w:p>
      <w:pPr>
        <w:pStyle w:val="Normal"/>
        <w:spacing w:before="0" w:after="0"/>
        <w:rPr>
          <w:rFonts w:ascii="Tahoma" w:hAnsi="Tahoma" w:cs="Tahoma"/>
          <w:sz w:val="21"/>
          <w:szCs w:val="21"/>
        </w:rPr>
      </w:pPr>
      <w:r>
        <w:rPr>
          <w:rFonts w:cs="Tahoma" w:ascii="Tahoma" w:hAnsi="Tahoma"/>
          <w:sz w:val="21"/>
          <w:szCs w:val="21"/>
        </w:rPr>
        <w:t>rozporządzeniu 269/2014 albo wpisanego na listę na podstawie decyzji w sprawie wpisu na listę rozstrzygającej o zastosowaniu środka, o którym mowa w art. 1 pkt 3 ustawy;</w:t>
      </w:r>
    </w:p>
    <w:p>
      <w:pPr>
        <w:pStyle w:val="Normal"/>
        <w:spacing w:before="0" w:after="0"/>
        <w:rPr>
          <w:rFonts w:ascii="Tahoma" w:hAnsi="Tahoma" w:cs="Tahoma"/>
          <w:sz w:val="21"/>
          <w:szCs w:val="21"/>
        </w:rPr>
      </w:pPr>
      <w:r>
        <w:rPr>
          <w:rFonts w:cs="Tahoma" w:ascii="Tahoma" w:hAnsi="Tahoma"/>
          <w:sz w:val="21"/>
          <w:szCs w:val="21"/>
        </w:rPr>
        <w:t xml:space="preserve">b) wykonawcę oraz uczestnika konkursu, którego beneficjentem rzeczywistym w rozumieniu ustawy z dnia 1 marca 2018 r. o przeciwdziałaniu praniu pieniędzy oraz finansowaniu terroryzmu (Dz. U. z 2022 r. poz. 593 i 655) jest SWZ - Opracowanie dokumentacji projektowo-kosztorysowej dla zadania pn. „Modernizacja budynku kotłowni WSZ w Płocku" II strona 8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pPr>
        <w:pStyle w:val="Normal"/>
        <w:spacing w:before="0" w:after="0"/>
        <w:rPr>
          <w:rFonts w:ascii="Tahoma" w:hAnsi="Tahoma" w:cs="Tahoma"/>
          <w:sz w:val="21"/>
          <w:szCs w:val="21"/>
        </w:rPr>
      </w:pPr>
      <w:r>
        <w:rPr>
          <w:rFonts w:cs="Tahoma" w:ascii="Tahoma" w:hAnsi="Tahoma"/>
          <w:sz w:val="21"/>
          <w:szCs w:val="21"/>
        </w:rPr>
        <w:t>c)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pPr>
        <w:pStyle w:val="Normal"/>
        <w:spacing w:before="0" w:after="0"/>
        <w:rPr>
          <w:rFonts w:ascii="Tahoma" w:hAnsi="Tahoma" w:cs="Tahoma"/>
          <w:sz w:val="21"/>
          <w:szCs w:val="21"/>
        </w:rPr>
      </w:pPr>
      <w:r>
        <w:rPr>
          <w:rFonts w:cs="Tahoma" w:ascii="Tahoma" w:hAnsi="Tahoma"/>
          <w:sz w:val="21"/>
          <w:szCs w:val="21"/>
        </w:rPr>
        <w:t>7 . W przypadku wykonawców wspólnie ubiegających się o udzielenie zamówienia po stronie każdego z</w:t>
      </w:r>
    </w:p>
    <w:p>
      <w:pPr>
        <w:pStyle w:val="Normal"/>
        <w:spacing w:before="0" w:after="0"/>
        <w:rPr>
          <w:rFonts w:ascii="Tahoma" w:hAnsi="Tahoma" w:cs="Tahoma"/>
          <w:sz w:val="21"/>
          <w:szCs w:val="21"/>
        </w:rPr>
      </w:pPr>
      <w:r>
        <w:rPr>
          <w:rFonts w:cs="Tahoma" w:ascii="Tahoma" w:hAnsi="Tahoma"/>
          <w:sz w:val="21"/>
          <w:szCs w:val="21"/>
        </w:rPr>
        <w:t>podmiotów składających ofertę wspólną musi być brak podstaw do wykluczenia.</w:t>
      </w:r>
    </w:p>
    <w:p>
      <w:pPr>
        <w:pStyle w:val="Normal"/>
        <w:spacing w:before="0" w:after="0"/>
        <w:rPr>
          <w:rFonts w:ascii="Tahoma" w:hAnsi="Tahoma" w:cs="Tahoma"/>
          <w:sz w:val="21"/>
          <w:szCs w:val="21"/>
        </w:rPr>
      </w:pPr>
      <w:r>
        <w:rPr>
          <w:rFonts w:cs="Tahoma" w:ascii="Tahoma" w:hAnsi="Tahoma"/>
          <w:sz w:val="21"/>
          <w:szCs w:val="21"/>
        </w:rPr>
        <w:t>8 . W przypadku, gdy wykonawca powołuje się na zasoby innych podmiotów na podstawie art. 118 ustawy Pzp</w:t>
      </w:r>
    </w:p>
    <w:p>
      <w:pPr>
        <w:pStyle w:val="Normal"/>
        <w:spacing w:before="0" w:after="0"/>
        <w:rPr>
          <w:rFonts w:ascii="Tahoma" w:hAnsi="Tahoma" w:eastAsia="Calibri" w:cs="Tahoma"/>
          <w:b w:val="false"/>
          <w:bCs w:val="false"/>
          <w:color w:val="000000"/>
          <w:sz w:val="21"/>
          <w:szCs w:val="21"/>
          <w:lang w:val="pl-PL" w:bidi="ar-SA"/>
        </w:rPr>
      </w:pPr>
      <w:r>
        <w:rPr>
          <w:rFonts w:cs="Tahoma" w:ascii="Tahoma" w:hAnsi="Tahoma"/>
          <w:sz w:val="21"/>
          <w:szCs w:val="21"/>
        </w:rPr>
        <w:t>musi wykazać, że nie zachodzą wobec tego podmiotu podstawy wykluczenia, które zostały przewidziane</w:t>
      </w:r>
    </w:p>
    <w:p>
      <w:pPr>
        <w:pStyle w:val="Normal"/>
        <w:spacing w:before="0" w:after="0"/>
        <w:rPr>
          <w:rFonts w:ascii="Tahoma" w:hAnsi="Tahoma" w:eastAsia="Tahoma" w:cs="Tahoma"/>
          <w:bCs/>
          <w:iCs/>
          <w:strike w:val="false"/>
          <w:dstrike w:val="false"/>
          <w:sz w:val="21"/>
          <w:szCs w:val="21"/>
          <w:u w:val="none"/>
          <w:shd w:fill="FFFFFF" w:val="clear"/>
        </w:rPr>
      </w:pPr>
      <w:r>
        <w:rPr>
          <w:rFonts w:eastAsia="Calibri" w:cs="Tahoma" w:ascii="Tahoma" w:hAnsi="Tahoma"/>
          <w:b w:val="false"/>
          <w:bCs w:val="false"/>
          <w:color w:val="000000"/>
          <w:sz w:val="21"/>
          <w:szCs w:val="21"/>
          <w:lang w:val="pl-PL" w:bidi="ar-SA"/>
        </w:rPr>
        <w:t>względem wykonawcy.</w:t>
      </w:r>
    </w:p>
    <w:p>
      <w:pPr>
        <w:pStyle w:val="Normal"/>
        <w:widowControl w:val="false"/>
        <w:ind w:right="30"/>
        <w:jc w:val="both"/>
        <w:rPr>
          <w:rFonts w:ascii="Tahoma" w:hAnsi="Tahoma" w:cs="Tahoma"/>
          <w:b/>
          <w:bCs/>
          <w:color w:val="000000"/>
          <w:sz w:val="21"/>
          <w:szCs w:val="21"/>
          <w:lang w:val="pl-PL" w:bidi="ar-SA"/>
        </w:rPr>
      </w:pPr>
      <w:r>
        <w:rPr>
          <w:rFonts w:eastAsia="Tahoma" w:cs="Tahoma" w:ascii="Tahoma" w:hAnsi="Tahoma"/>
          <w:bCs/>
          <w:iCs/>
          <w:strike w:val="false"/>
          <w:dstrike w:val="false"/>
          <w:sz w:val="21"/>
          <w:szCs w:val="21"/>
          <w:u w:val="none"/>
          <w:shd w:fill="FFFFFF" w:val="clear"/>
        </w:rPr>
        <w:t xml:space="preserve">Zamawiający może wykluczyć Wykonawcę na każdym etapie postępowania. Ofertę złożoną przez Wykonawcę podlegającego wykluczeniu odrzuca się. </w:t>
      </w:r>
    </w:p>
    <w:p>
      <w:pPr>
        <w:pStyle w:val="Normal"/>
        <w:widowControl w:val="false"/>
        <w:spacing w:before="0" w:after="46"/>
        <w:ind w:right="30"/>
        <w:jc w:val="both"/>
        <w:rPr>
          <w:rFonts w:ascii="Tahoma" w:hAnsi="Tahoma" w:eastAsia="Arial Unicode MS" w:cs="Tahoma"/>
          <w:b w:val="false"/>
          <w:bCs w:val="false"/>
          <w:i w:val="false"/>
          <w:iCs w:val="false"/>
          <w:color w:val="000000"/>
          <w:sz w:val="21"/>
          <w:szCs w:val="21"/>
          <w:lang w:val="pl-PL" w:bidi="ar-SA"/>
        </w:rPr>
      </w:pPr>
      <w:r>
        <w:rPr>
          <w:rFonts w:cs="Tahoma" w:ascii="Tahoma" w:hAnsi="Tahoma"/>
          <w:b/>
          <w:bCs/>
          <w:color w:val="000000"/>
          <w:sz w:val="21"/>
          <w:szCs w:val="21"/>
          <w:lang w:val="pl-PL" w:bidi="ar-SA"/>
        </w:rPr>
        <w:t>2. spełniają warunki  udziału w postępowaniu dotyczące:</w:t>
      </w:r>
    </w:p>
    <w:p>
      <w:pPr>
        <w:pStyle w:val="Normal"/>
        <w:widowControl w:val="false"/>
        <w:spacing w:before="0" w:after="0"/>
        <w:ind w:right="30"/>
        <w:jc w:val="both"/>
        <w:rPr>
          <w:rFonts w:ascii="Tahoma" w:hAnsi="Tahoma" w:eastAsia="Arial Unicode MS" w:cs="Tahoma"/>
          <w:b w:val="false"/>
          <w:bCs w:val="false"/>
          <w:i w:val="false"/>
          <w:iCs w:val="false"/>
          <w:color w:val="000000"/>
          <w:sz w:val="21"/>
          <w:szCs w:val="21"/>
          <w:lang w:val="pl-PL" w:bidi="ar-SA"/>
        </w:rPr>
      </w:pPr>
      <w:r>
        <w:rPr>
          <w:rFonts w:eastAsia="Arial Unicode MS" w:cs="Tahoma" w:ascii="Tahoma" w:hAnsi="Tahoma"/>
          <w:b w:val="false"/>
          <w:bCs w:val="false"/>
          <w:i w:val="false"/>
          <w:iCs w:val="false"/>
          <w:color w:val="000000"/>
          <w:sz w:val="21"/>
          <w:szCs w:val="21"/>
          <w:lang w:val="pl-PL" w:bidi="ar-SA"/>
        </w:rPr>
        <w:t xml:space="preserve">a) uprawnień  do prowadzenia  określonej  działalności zawodowej, o ile wynika to z odrębnych przepisów – w tym zakresie Zamawiający nie precyzuje warunku </w:t>
      </w:r>
    </w:p>
    <w:p>
      <w:pPr>
        <w:pStyle w:val="Normal"/>
        <w:widowControl w:val="false"/>
        <w:spacing w:before="0" w:after="0"/>
        <w:ind w:right="30"/>
        <w:jc w:val="both"/>
        <w:rPr>
          <w:rFonts w:ascii="Tahoma" w:hAnsi="Tahoma" w:eastAsia="Tahoma" w:cs="Tahoma"/>
          <w:b w:val="false"/>
          <w:bCs w:val="false"/>
          <w:i w:val="false"/>
          <w:iCs w:val="false"/>
          <w:color w:val="000000"/>
          <w:sz w:val="21"/>
          <w:szCs w:val="21"/>
          <w:lang w:val="pl-PL" w:bidi="ar-SA"/>
        </w:rPr>
      </w:pPr>
      <w:r>
        <w:rPr>
          <w:rFonts w:eastAsia="Arial Unicode MS" w:cs="Tahoma" w:ascii="Tahoma" w:hAnsi="Tahoma"/>
          <w:b w:val="false"/>
          <w:bCs w:val="false"/>
          <w:i w:val="false"/>
          <w:iCs w:val="false"/>
          <w:color w:val="000000"/>
          <w:sz w:val="21"/>
          <w:szCs w:val="21"/>
          <w:lang w:val="pl-PL" w:bidi="ar-SA"/>
        </w:rPr>
        <w:t>b) sytuacji ekonomicznej lub finansowej</w:t>
      </w:r>
      <w:r>
        <w:rPr>
          <w:rFonts w:eastAsia="Arial Unicode MS" w:cs="Tahoma" w:ascii="Tahoma" w:hAnsi="Tahoma"/>
          <w:b/>
          <w:bCs/>
          <w:i w:val="false"/>
          <w:iCs w:val="false"/>
          <w:color w:val="000000"/>
          <w:sz w:val="21"/>
          <w:szCs w:val="21"/>
          <w:lang w:val="pl-PL" w:bidi="ar-SA"/>
        </w:rPr>
        <w:t xml:space="preserve"> </w:t>
      </w:r>
      <w:r>
        <w:rPr>
          <w:rFonts w:eastAsia="Arial Unicode MS" w:cs="Tahoma" w:ascii="Tahoma" w:hAnsi="Tahoma"/>
          <w:b w:val="false"/>
          <w:bCs w:val="false"/>
          <w:i w:val="false"/>
          <w:iCs w:val="false"/>
          <w:color w:val="000000"/>
          <w:sz w:val="21"/>
          <w:szCs w:val="21"/>
          <w:lang w:val="pl-PL" w:bidi="ar-SA"/>
        </w:rPr>
        <w:t xml:space="preserve">– w tym zakresie Zamawiający nie precyzuje  warunku.      </w:t>
      </w:r>
    </w:p>
    <w:p>
      <w:pPr>
        <w:pStyle w:val="Normal"/>
        <w:widowControl w:val="false"/>
        <w:spacing w:before="0" w:after="0"/>
        <w:ind w:right="30"/>
        <w:jc w:val="both"/>
        <w:rPr>
          <w:rFonts w:ascii="Tahoma" w:hAnsi="Tahoma" w:eastAsia="Andale Sans UI;Arial Unicode MS" w:cs="Tahoma"/>
          <w:b/>
          <w:bCs/>
          <w:i w:val="false"/>
          <w:iCs w:val="false"/>
          <w:color w:val="000000"/>
          <w:kern w:val="2"/>
          <w:sz w:val="21"/>
          <w:szCs w:val="21"/>
          <w:u w:val="none"/>
          <w:shd w:fill="FFFFFF" w:val="clear"/>
          <w:lang w:val="zxx" w:eastAsia="zxx" w:bidi="zxx"/>
        </w:rPr>
      </w:pPr>
      <w:r>
        <w:rPr>
          <w:rFonts w:eastAsia="Tahoma" w:cs="Tahoma" w:ascii="Tahoma" w:hAnsi="Tahoma"/>
          <w:b w:val="false"/>
          <w:bCs w:val="false"/>
          <w:i w:val="false"/>
          <w:iCs w:val="false"/>
          <w:color w:val="000000"/>
          <w:sz w:val="21"/>
          <w:szCs w:val="21"/>
          <w:lang w:val="pl-PL" w:bidi="ar-SA"/>
        </w:rPr>
        <w:t>c) zdolności technicznej lub zawodowej</w:t>
      </w:r>
      <w:r>
        <w:rPr>
          <w:rFonts w:eastAsia="Arial Unicode MS" w:cs="Tahoma" w:ascii="Tahoma" w:hAnsi="Tahoma"/>
          <w:b/>
          <w:bCs/>
          <w:i w:val="false"/>
          <w:iCs w:val="false"/>
          <w:color w:val="000000"/>
          <w:sz w:val="21"/>
          <w:szCs w:val="21"/>
          <w:lang w:val="pl-PL" w:bidi="ar-SA"/>
        </w:rPr>
        <w:t xml:space="preserve">- </w:t>
      </w:r>
      <w:r>
        <w:rPr>
          <w:rFonts w:eastAsia="Arial Unicode MS" w:cs="Tahoma" w:ascii="Tahoma" w:hAnsi="Tahoma"/>
          <w:b w:val="false"/>
          <w:bCs w:val="false"/>
          <w:i w:val="false"/>
          <w:iCs w:val="false"/>
          <w:color w:val="000000"/>
          <w:sz w:val="21"/>
          <w:szCs w:val="21"/>
          <w:lang w:val="pl-PL" w:bidi="ar-SA"/>
        </w:rPr>
        <w:t>w tym zakresie Zamawiający nie precyzuje  warunku.</w:t>
      </w:r>
    </w:p>
    <w:p>
      <w:pPr>
        <w:pStyle w:val="Normal"/>
        <w:widowControl w:val="false"/>
        <w:spacing w:before="0" w:after="0"/>
        <w:ind w:hanging="15" w:right="0"/>
        <w:jc w:val="both"/>
        <w:rPr>
          <w:rFonts w:ascii="Tahoma" w:hAnsi="Tahoma" w:cs="Tahoma"/>
          <w:b w:val="false"/>
          <w:sz w:val="21"/>
          <w:szCs w:val="21"/>
          <w:shd w:fill="FFFFFF" w:val="clear"/>
        </w:rPr>
      </w:pPr>
      <w:r>
        <w:rPr>
          <w:rFonts w:eastAsia="Andale Sans UI;Arial Unicode MS" w:cs="Tahoma" w:ascii="Tahoma" w:hAnsi="Tahoma"/>
          <w:b/>
          <w:bCs/>
          <w:i w:val="false"/>
          <w:iCs w:val="false"/>
          <w:color w:val="000000"/>
          <w:kern w:val="2"/>
          <w:sz w:val="21"/>
          <w:szCs w:val="21"/>
          <w:u w:val="none"/>
          <w:shd w:fill="FFFFFF" w:val="clear"/>
          <w:lang w:val="zxx" w:eastAsia="zxx" w:bidi="zxx"/>
        </w:rPr>
        <w:t xml:space="preserve">3. </w:t>
      </w:r>
      <w:r>
        <w:rPr>
          <w:rFonts w:cs="Tahoma" w:ascii="Tahoma" w:hAnsi="Tahoma"/>
          <w:b/>
          <w:sz w:val="21"/>
          <w:szCs w:val="21"/>
          <w:shd w:fill="FFFFFF" w:val="clear"/>
        </w:rPr>
        <w:t>Zakaz udziału w postępowaniu.</w:t>
      </w:r>
    </w:p>
    <w:p>
      <w:pPr>
        <w:pStyle w:val="Normal"/>
        <w:widowControl w:val="false"/>
        <w:spacing w:before="0" w:after="46"/>
        <w:ind w:hanging="15" w:right="0"/>
        <w:jc w:val="both"/>
        <w:rPr>
          <w:rFonts w:ascii="Tahoma" w:hAnsi="Tahoma" w:cs="Tahoma"/>
          <w:b w:val="false"/>
          <w:strike w:val="false"/>
          <w:dstrike w:val="false"/>
          <w:sz w:val="21"/>
          <w:szCs w:val="21"/>
          <w:u w:val="none"/>
          <w:shd w:fill="FFFFFF" w:val="clear"/>
        </w:rPr>
      </w:pPr>
      <w:r>
        <w:rPr>
          <w:rFonts w:cs="Tahoma" w:ascii="Tahoma" w:hAnsi="Tahoma"/>
          <w:b w:val="false"/>
          <w:sz w:val="21"/>
          <w:szCs w:val="21"/>
          <w:shd w:fill="FFFFFF" w:val="clear"/>
        </w:rPr>
        <w:t xml:space="preserve">Na mocy przepisu art. 1 pkt 23 rozporządzenia Rady (UE) 2025/2033 </w:t>
      </w:r>
      <w:r>
        <w:rPr>
          <w:rStyle w:val="Hyperlink"/>
          <w:rFonts w:cs="Tahoma" w:ascii="Tahoma" w:hAnsi="Tahoma"/>
          <w:b w:val="false"/>
          <w:i w:val="false"/>
          <w:caps w:val="false"/>
          <w:smallCaps w:val="false"/>
          <w:color w:val="000000"/>
          <w:spacing w:val="0"/>
          <w:position w:val="0"/>
          <w:sz w:val="21"/>
          <w:szCs w:val="21"/>
          <w:u w:val="none"/>
          <w:shd w:fill="FFFFFF" w:val="clear"/>
          <w:vertAlign w:val="baseline"/>
        </w:rPr>
        <w:t>z 23 października 2025 r.</w:t>
      </w:r>
      <w:r>
        <w:rPr>
          <w:rFonts w:cs="Tahoma" w:ascii="Tahoma" w:hAnsi="Tahoma"/>
          <w:b w:val="false"/>
          <w:sz w:val="21"/>
          <w:szCs w:val="21"/>
          <w:shd w:fill="FFFFFF" w:val="clear"/>
        </w:rPr>
        <w:t xml:space="preserve"> w sprawie zmiany rozporządzenia (UE) nr 833/2014 dotyczącego środków ograniczających w związku z działaniami Rosji destabilizującymi sytuację na Ukrainie, dalej: rozporządzenie 2025/2033, do rozporządzenia Rady (UE) nr 833/2014 z dnia 31 lipca 2014 r. dotyczącego środków ograniczających w związku z działaniami Rosji destabilizującymi sytuację na Ukrainie (Dz. Urz. UE nr L 229 z 31.7.2014, str. 1), dalej: rozporządzenie 833/2014 –</w:t>
      </w:r>
      <w:r>
        <w:rPr>
          <w:rFonts w:cs="Tahoma" w:ascii="Tahoma" w:hAnsi="Tahoma"/>
          <w:b w:val="false"/>
          <w:sz w:val="21"/>
          <w:szCs w:val="21"/>
          <w:u w:val="single"/>
          <w:shd w:fill="FFFFFF" w:val="clear"/>
        </w:rPr>
        <w:t xml:space="preserve"> zgodnie z art. 5k</w:t>
      </w:r>
      <w:r>
        <w:rPr>
          <w:rFonts w:cs="Tahoma" w:ascii="Tahoma" w:hAnsi="Tahoma"/>
          <w:b w:val="false"/>
          <w:sz w:val="21"/>
          <w:szCs w:val="21"/>
          <w:shd w:fill="FFFFFF" w:val="clear"/>
        </w:rPr>
        <w:t xml:space="preserve">, które ustanawia się zakaz udziału rosyjskich wykonawców w zamówieniach publicznych i koncesjach udzielanych we wszystkich państwach członkowskich Unii Europejskiej, przy czym przez „rosyjskich wykonawców” należy rozumieć: </w:t>
      </w:r>
    </w:p>
    <w:p>
      <w:pPr>
        <w:pStyle w:val="Default"/>
        <w:spacing w:before="0" w:after="13"/>
        <w:ind w:right="0"/>
        <w:rPr>
          <w:rFonts w:ascii="Tahoma" w:hAnsi="Tahoma" w:cs="Tahoma"/>
          <w:b w:val="false"/>
          <w:strike w:val="false"/>
          <w:dstrike w:val="false"/>
          <w:sz w:val="21"/>
          <w:szCs w:val="21"/>
          <w:u w:val="none"/>
          <w:shd w:fill="FFFFFF" w:val="clear"/>
        </w:rPr>
      </w:pPr>
      <w:r>
        <w:rPr>
          <w:rFonts w:cs="Tahoma" w:ascii="Tahoma" w:hAnsi="Tahoma"/>
          <w:b w:val="false"/>
          <w:strike w:val="false"/>
          <w:dstrike w:val="false"/>
          <w:sz w:val="21"/>
          <w:szCs w:val="21"/>
          <w:u w:val="none"/>
          <w:shd w:fill="FFFFFF" w:val="clear"/>
        </w:rPr>
        <w:t xml:space="preserve">1) obywateli rosyjskich, osoby fizyczne lub prawne, podmioty lub organy z siedzibą w Rosji; </w:t>
      </w:r>
    </w:p>
    <w:p>
      <w:pPr>
        <w:pStyle w:val="Default"/>
        <w:spacing w:before="0" w:after="13"/>
        <w:ind w:right="0"/>
        <w:rPr>
          <w:rFonts w:ascii="Tahoma" w:hAnsi="Tahoma" w:cs="Tahoma"/>
          <w:b w:val="false"/>
          <w:strike w:val="false"/>
          <w:dstrike w:val="false"/>
          <w:sz w:val="21"/>
          <w:szCs w:val="21"/>
          <w:u w:val="none"/>
          <w:shd w:fill="FFFFFF" w:val="clear"/>
        </w:rPr>
      </w:pPr>
      <w:r>
        <w:rPr>
          <w:rFonts w:cs="Tahoma" w:ascii="Tahoma" w:hAnsi="Tahoma"/>
          <w:b w:val="false"/>
          <w:strike w:val="false"/>
          <w:dstrike w:val="false"/>
          <w:sz w:val="21"/>
          <w:szCs w:val="21"/>
          <w:u w:val="none"/>
          <w:shd w:fill="FFFFFF" w:val="clear"/>
        </w:rPr>
        <w:t xml:space="preserve">2) osoby prawne, podmioty lub organy, do których prawa własności bezpośrednio lub pośrednio w ponad 50 % należą do obywateli rosyjskich lub osób fizycznych lub prawnych, podmiotów lub organów z siedzibą w Rosji; </w:t>
      </w:r>
    </w:p>
    <w:p>
      <w:pPr>
        <w:pStyle w:val="Default"/>
        <w:spacing w:before="0" w:after="0"/>
        <w:ind w:right="0"/>
        <w:rPr>
          <w:rFonts w:ascii="Tahoma" w:hAnsi="Tahoma" w:cs="Tahoma"/>
          <w:b w:val="false"/>
          <w:strike w:val="false"/>
          <w:dstrike w:val="false"/>
          <w:sz w:val="21"/>
          <w:szCs w:val="21"/>
          <w:u w:val="none"/>
          <w:shd w:fill="FFFFFF" w:val="clear"/>
        </w:rPr>
      </w:pPr>
      <w:r>
        <w:rPr>
          <w:rFonts w:cs="Tahoma" w:ascii="Tahoma" w:hAnsi="Tahoma"/>
          <w:b w:val="false"/>
          <w:strike w:val="false"/>
          <w:dstrike w:val="false"/>
          <w:sz w:val="21"/>
          <w:szCs w:val="21"/>
          <w:u w:val="none"/>
          <w:shd w:fill="FFFFFF" w:val="clear"/>
        </w:rPr>
        <w:t xml:space="preserve">3) osoby fizyczne lub prawne, podmioty lub organy działające w imieniu lub pod kierunkiem: </w:t>
      </w:r>
    </w:p>
    <w:p>
      <w:pPr>
        <w:pStyle w:val="Default"/>
        <w:spacing w:before="0" w:after="13"/>
        <w:ind w:right="0"/>
        <w:rPr>
          <w:rFonts w:ascii="Tahoma" w:hAnsi="Tahoma" w:eastAsia="Arial Unicode MS" w:cs="Tahoma"/>
          <w:b w:val="false"/>
          <w:bCs w:val="false"/>
          <w:i w:val="false"/>
          <w:iCs w:val="false"/>
          <w:strike w:val="false"/>
          <w:dstrike w:val="false"/>
          <w:color w:val="000000"/>
          <w:sz w:val="21"/>
          <w:szCs w:val="21"/>
          <w:u w:val="none"/>
          <w:shd w:fill="FFFFFF" w:val="clear"/>
          <w:lang w:val="pl-PL" w:bidi="ar-SA"/>
        </w:rPr>
      </w:pPr>
      <w:r>
        <w:rPr>
          <w:rFonts w:cs="Tahoma" w:ascii="Tahoma" w:hAnsi="Tahoma"/>
          <w:b w:val="false"/>
          <w:strike w:val="false"/>
          <w:dstrike w:val="false"/>
          <w:sz w:val="21"/>
          <w:szCs w:val="21"/>
          <w:u w:val="none"/>
          <w:shd w:fill="FFFFFF" w:val="clear"/>
        </w:rPr>
        <w:t xml:space="preserve">a) obywateli rosyjskich lub osób fizycznych lub prawnych, podmiotów lub organów z siedzibą w Rosji lub </w:t>
      </w:r>
    </w:p>
    <w:p>
      <w:pPr>
        <w:pStyle w:val="Default"/>
        <w:spacing w:before="0" w:after="0"/>
        <w:ind w:right="0"/>
        <w:rPr>
          <w:rFonts w:ascii="Tahoma" w:hAnsi="Tahoma" w:eastAsia="Andale Sans UI;Arial Unicode MS" w:cs="Tahoma"/>
          <w:b w:val="false"/>
          <w:bCs w:val="false"/>
          <w:i w:val="false"/>
          <w:iCs w:val="false"/>
          <w:caps w:val="false"/>
          <w:smallCaps w:val="false"/>
          <w:strike w:val="false"/>
          <w:dstrike w:val="false"/>
          <w:color w:val="08134B"/>
          <w:spacing w:val="0"/>
          <w:kern w:val="2"/>
          <w:sz w:val="20"/>
          <w:szCs w:val="20"/>
          <w:u w:val="none"/>
          <w:shd w:fill="FFFFFF" w:val="clear"/>
          <w:lang w:val="pl-PL" w:eastAsia="zxx" w:bidi="ar-SA"/>
        </w:rPr>
      </w:pPr>
      <w:r>
        <w:rPr>
          <w:rFonts w:eastAsia="Arial Unicode MS" w:cs="Tahoma" w:ascii="Tahoma" w:hAnsi="Tahoma"/>
          <w:b w:val="false"/>
          <w:bCs w:val="false"/>
          <w:i w:val="false"/>
          <w:iCs w:val="false"/>
          <w:strike w:val="false"/>
          <w:dstrike w:val="false"/>
          <w:color w:val="000000"/>
          <w:sz w:val="21"/>
          <w:szCs w:val="21"/>
          <w:u w:val="none"/>
          <w:shd w:fill="FFFFFF" w:val="clear"/>
          <w:lang w:val="pl-PL" w:bidi="ar-SA"/>
        </w:rPr>
        <w:t>b)</w:t>
      </w:r>
      <w:r>
        <w:rPr>
          <w:rFonts w:eastAsia="Arial Unicode MS" w:cs="Tahoma" w:ascii="Tahoma" w:hAnsi="Tahoma"/>
          <w:b/>
          <w:bCs/>
          <w:i w:val="false"/>
          <w:iCs w:val="false"/>
          <w:strike w:val="false"/>
          <w:dstrike w:val="false"/>
          <w:color w:val="000000"/>
          <w:sz w:val="21"/>
          <w:szCs w:val="21"/>
          <w:u w:val="none"/>
          <w:shd w:fill="FFFFFF" w:val="clear"/>
          <w:lang w:val="pl-PL" w:bidi="ar-SA"/>
        </w:rPr>
        <w:t xml:space="preserve"> </w:t>
      </w:r>
      <w:r>
        <w:rPr>
          <w:rFonts w:eastAsia="Arial Unicode MS" w:cs="Tahoma" w:ascii="Tahoma" w:hAnsi="Tahoma"/>
          <w:b w:val="false"/>
          <w:bCs w:val="false"/>
          <w:i w:val="false"/>
          <w:iCs w:val="false"/>
          <w:strike w:val="false"/>
          <w:dstrike w:val="false"/>
          <w:color w:val="000000"/>
          <w:sz w:val="21"/>
          <w:szCs w:val="21"/>
          <w:u w:val="none"/>
          <w:shd w:fill="FFFFFF" w:val="clear"/>
          <w:lang w:val="pl-PL" w:bidi="ar-SA"/>
        </w:rPr>
        <w:t xml:space="preserve">osób prawnych, podmiotów lub organów, do których prawa własności bezpośrednio lub pośrednio w ponad 50 % należą do obywateli rosyjskich lub osób fizycznych lub prawnych, podmiotów lub organów z siedzibą w Rosji, </w:t>
      </w:r>
      <w:r>
        <w:rPr>
          <w:rFonts w:eastAsia="Andale Sans UI;Arial Unicode MS" w:cs="Tahoma" w:ascii="Tahoma" w:hAnsi="Tahoma"/>
          <w:b w:val="false"/>
          <w:bCs w:val="false"/>
          <w:i w:val="false"/>
          <w:iCs w:val="false"/>
          <w:strike w:val="false"/>
          <w:dstrike w:val="false"/>
          <w:color w:val="000000"/>
          <w:kern w:val="2"/>
          <w:sz w:val="21"/>
          <w:szCs w:val="21"/>
          <w:u w:val="none"/>
          <w:shd w:fill="FFFFFF" w:val="clear"/>
          <w:lang w:val="zxx" w:eastAsia="zxx" w:bidi="zxx"/>
        </w:rPr>
        <w:t xml:space="preserve">a także podwykonawców, dostawców i podmioty, na których zdolności wykonawca lub koncesjonariusz polega, w przypadku gdy przypada na nich ponad 10 % wartości zamówienia lub koncesji, jeżeli taki podwykonawca, dostawca, podmiot, na którego zdolności wykonawca polega, należy do którejkolwiek z kategorii podmiotów wymienionych w punktach 1-3. </w:t>
      </w:r>
    </w:p>
    <w:p>
      <w:pPr>
        <w:pStyle w:val="Default"/>
        <w:spacing w:before="0" w:after="0"/>
        <w:ind w:right="0"/>
        <w:rPr>
          <w:rFonts w:cs="Tahoma"/>
          <w:b/>
          <w:bCs/>
          <w:sz w:val="20"/>
          <w:szCs w:val="20"/>
          <w:lang w:val="pl-PL" w:bidi="ar-SA"/>
        </w:rPr>
      </w:pPr>
      <w:r>
        <w:rPr>
          <w:rFonts w:eastAsia="Andale Sans UI;Arial Unicode MS" w:cs="Tahoma" w:ascii="Tahoma" w:hAnsi="Tahoma"/>
          <w:b w:val="false"/>
          <w:bCs w:val="false"/>
          <w:i w:val="false"/>
          <w:iCs w:val="false"/>
          <w:caps w:val="false"/>
          <w:smallCaps w:val="false"/>
          <w:strike w:val="false"/>
          <w:dstrike w:val="false"/>
          <w:color w:val="08134B"/>
          <w:spacing w:val="0"/>
          <w:kern w:val="2"/>
          <w:sz w:val="20"/>
          <w:szCs w:val="20"/>
          <w:u w:val="none"/>
          <w:shd w:fill="FFFFFF" w:val="clear"/>
          <w:lang w:val="pl-PL" w:eastAsia="zxx" w:bidi="ar-SA"/>
        </w:rPr>
        <w:t> </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spacing w:lineRule="atLeast" w:line="100" w:before="0" w:after="160"/>
              <w:rPr>
                <w:rFonts w:cs="Tahoma"/>
                <w:b/>
                <w:bCs/>
                <w:sz w:val="20"/>
                <w:szCs w:val="20"/>
                <w:lang w:val="pl-PL" w:bidi="ar-SA"/>
              </w:rPr>
            </w:pPr>
            <w:r>
              <w:rPr>
                <w:rFonts w:cs="Tahoma"/>
                <w:b/>
                <w:bCs/>
                <w:sz w:val="20"/>
                <w:szCs w:val="20"/>
                <w:lang w:val="pl-PL" w:bidi="ar-SA"/>
              </w:rPr>
              <w:t>VII OŚWIADCZENIA I DOKUMENTY,  JAKIE ZOBOWIĄZANI SĄ DOSTARCZYĆ WYKONAWCY W CELU POTWIERDZENIA SPEŁNIANIA WARUNKÓW UDZIAŁU W POSTĘPOWANIU ORAZ WYKAZANIA BRAKU PODSTAW WYKLUCZENIA</w:t>
            </w:r>
          </w:p>
        </w:tc>
      </w:tr>
    </w:tbl>
    <w:p>
      <w:pPr>
        <w:pStyle w:val="Normal"/>
        <w:widowControl w:val="false"/>
        <w:ind w:right="0"/>
        <w:jc w:val="both"/>
        <w:rPr>
          <w:rFonts w:ascii="Tahoma" w:hAnsi="Tahoma" w:eastAsia="Calibri" w:cs="Tahoma"/>
          <w:b w:val="false"/>
          <w:bCs w:val="false"/>
          <w:strike w:val="false"/>
          <w:dstrike w:val="false"/>
          <w:color w:val="000000"/>
          <w:sz w:val="21"/>
          <w:szCs w:val="21"/>
          <w:u w:val="none"/>
          <w:lang w:val="pl-PL" w:bidi="ar-SA"/>
        </w:rPr>
      </w:pPr>
      <w:r>
        <w:rPr>
          <w:rFonts w:eastAsia="Calibri" w:cs="Tahoma" w:ascii="Tahoma" w:hAnsi="Tahoma"/>
          <w:b/>
          <w:bCs/>
          <w:strike w:val="false"/>
          <w:dstrike w:val="false"/>
          <w:color w:val="000000"/>
          <w:sz w:val="21"/>
          <w:szCs w:val="21"/>
          <w:u w:val="none"/>
          <w:lang w:val="pl-PL" w:bidi="ar-SA"/>
        </w:rPr>
        <w:t>1.Następujące podmiotowe środki dowodowe, które Wykonawca  dołącza  do oferty:</w:t>
      </w:r>
    </w:p>
    <w:p>
      <w:pPr>
        <w:pStyle w:val="Normal"/>
        <w:widowControl w:val="false"/>
        <w:suppressAutoHyphens w:val="true"/>
        <w:overflowPunct w:val="false"/>
        <w:bidi w:val="0"/>
        <w:spacing w:before="120" w:after="120"/>
        <w:ind w:right="0"/>
        <w:jc w:val="both"/>
        <w:rPr>
          <w:rFonts w:ascii="Tahoma" w:hAnsi="Tahoma" w:cs="Tahoma"/>
          <w:color w:val="000000"/>
          <w:sz w:val="21"/>
          <w:szCs w:val="21"/>
          <w:u w:val="single"/>
          <w:lang w:val="pl-PL" w:bidi="ar-SA"/>
        </w:rPr>
      </w:pPr>
      <w:r>
        <w:rPr>
          <w:rFonts w:eastAsia="Calibri" w:cs="Tahoma" w:ascii="Tahoma" w:hAnsi="Tahoma"/>
          <w:b w:val="false"/>
          <w:bCs w:val="false"/>
          <w:strike w:val="false"/>
          <w:dstrike w:val="false"/>
          <w:color w:val="000000"/>
          <w:sz w:val="21"/>
          <w:szCs w:val="21"/>
          <w:u w:val="none"/>
          <w:lang w:val="pl-PL" w:bidi="ar-SA"/>
        </w:rPr>
        <w:t>1) Do oferty Wykonawca dołączy oświadczenie, o którym mowa w art. 125 ust. 1 ustawy o niepodleganiu wykluczeniu i spełnianiu warunków udziału w postępowaniu w zakresie wskazanym przez Zamawiającego na formularzu jednolitego europejskiego dokumentu zamówienia, dalej zwanego „jednolitym dokumentem” lub „JEDZ”. Ww. dokument stanowi dowód potwierdzający brak podstaw wykluczenia, spełnianie warunków udziału w postępowaniu na dzień składania ofert, tymczasowo zastępujący wymagane przez Zamawiającego podmiotowe środki dowodowe.</w:t>
      </w:r>
    </w:p>
    <w:p>
      <w:pPr>
        <w:pStyle w:val="Normal"/>
        <w:widowControl w:val="false"/>
        <w:suppressAutoHyphens w:val="true"/>
        <w:overflowPunct w:val="false"/>
        <w:bidi w:val="0"/>
        <w:spacing w:before="120" w:after="120"/>
        <w:ind w:right="0"/>
        <w:jc w:val="both"/>
        <w:rPr>
          <w:rFonts w:ascii="Tahoma" w:hAnsi="Tahoma" w:cs="Tahoma"/>
          <w:color w:val="000000"/>
          <w:sz w:val="21"/>
          <w:szCs w:val="21"/>
          <w:lang w:val="pl-PL" w:bidi="ar-SA"/>
        </w:rPr>
      </w:pPr>
      <w:r>
        <w:rPr>
          <w:rFonts w:cs="Tahoma" w:ascii="Tahoma" w:hAnsi="Tahoma"/>
          <w:color w:val="000000"/>
          <w:sz w:val="21"/>
          <w:szCs w:val="21"/>
          <w:u w:val="single"/>
          <w:lang w:val="pl-PL" w:bidi="ar-SA"/>
        </w:rPr>
        <w:t>Wykonawca składa osobne oświadczenia, dotyczące odpowiednio:</w:t>
      </w:r>
    </w:p>
    <w:p>
      <w:pPr>
        <w:pStyle w:val="Normal"/>
        <w:widowControl w:val="false"/>
        <w:suppressAutoHyphens w:val="true"/>
        <w:overflowPunct w:val="false"/>
        <w:bidi w:val="0"/>
        <w:spacing w:before="120" w:after="120"/>
        <w:ind w:right="0"/>
        <w:jc w:val="both"/>
        <w:rPr>
          <w:rFonts w:ascii="Tahoma" w:hAnsi="Tahoma" w:eastAsia="Calibri" w:cs="Tahoma"/>
          <w:b w:val="false"/>
          <w:bCs w:val="false"/>
          <w:strike w:val="false"/>
          <w:dstrike w:val="false"/>
          <w:color w:val="000000"/>
          <w:sz w:val="21"/>
          <w:szCs w:val="21"/>
          <w:u w:val="none"/>
          <w:lang w:val="pl-PL" w:bidi="ar-SA"/>
        </w:rPr>
      </w:pPr>
      <w:r>
        <w:rPr>
          <w:rFonts w:cs="Tahoma" w:ascii="Tahoma" w:hAnsi="Tahoma"/>
          <w:color w:val="000000"/>
          <w:sz w:val="21"/>
          <w:szCs w:val="21"/>
          <w:lang w:val="pl-PL" w:bidi="ar-SA"/>
        </w:rPr>
        <w:t>a. samego Wykonawcy lub każdego z Wykonawców wspólnie ubiegających się o udzielenie zamówienia w celu potwierdzenia braku podstaw wykluczenia oraz w zakresie, w jakim każdy z wykonawców wspólnie ubiegających się o zamówienie wykazuje spełnianie warunków udziału w postępowaniu;</w:t>
      </w:r>
    </w:p>
    <w:p>
      <w:pPr>
        <w:pStyle w:val="Normal"/>
        <w:widowControl w:val="false"/>
        <w:suppressAutoHyphens w:val="true"/>
        <w:overflowPunct w:val="false"/>
        <w:bidi w:val="0"/>
        <w:spacing w:before="120" w:after="120"/>
        <w:ind w:right="0"/>
        <w:jc w:val="both"/>
        <w:rPr>
          <w:rFonts w:ascii="Tahoma" w:hAnsi="Tahoma" w:cs="Tahoma"/>
          <w:b/>
          <w:bCs/>
          <w:color w:val="000000"/>
          <w:sz w:val="21"/>
          <w:szCs w:val="21"/>
          <w:lang w:val="pl-PL" w:bidi="ar-SA"/>
        </w:rPr>
      </w:pPr>
      <w:r>
        <w:rPr>
          <w:rFonts w:eastAsia="Calibri" w:cs="Tahoma" w:ascii="Tahoma" w:hAnsi="Tahoma"/>
          <w:b w:val="false"/>
          <w:bCs w:val="false"/>
          <w:strike w:val="false"/>
          <w:dstrike w:val="false"/>
          <w:color w:val="000000"/>
          <w:sz w:val="21"/>
          <w:szCs w:val="21"/>
          <w:u w:val="none"/>
          <w:lang w:val="pl-PL" w:bidi="ar-SA"/>
        </w:rPr>
        <w:t>b. od podmiotu/-ów, na którego/-ych zdolnościach technicznych lub zawodowych polega Wykonawca w celu potwierdzenia braku podstaw wykluczenia tego podmiotu oraz odpowiednio spełniania warunków udziału w postępowaniu, w zakresie, w jakim Wykonawca powołuje się na jego zasoby – jeżeli dotyczy.</w:t>
      </w:r>
    </w:p>
    <w:p>
      <w:pPr>
        <w:pStyle w:val="Normal"/>
        <w:widowControl w:val="false"/>
        <w:suppressAutoHyphens w:val="true"/>
        <w:overflowPunct w:val="false"/>
        <w:bidi w:val="0"/>
        <w:spacing w:before="120" w:after="120"/>
        <w:ind w:right="0"/>
        <w:jc w:val="both"/>
        <w:rPr>
          <w:rFonts w:ascii="Tahoma" w:hAnsi="Tahoma" w:cs="Tahoma"/>
          <w:b/>
          <w:i w:val="false"/>
          <w:iCs w:val="false"/>
          <w:color w:val="000000"/>
          <w:sz w:val="21"/>
          <w:szCs w:val="21"/>
        </w:rPr>
      </w:pPr>
      <w:r>
        <w:rPr>
          <w:rFonts w:cs="Tahoma" w:ascii="Tahoma" w:hAnsi="Tahoma"/>
          <w:b/>
          <w:bCs/>
          <w:color w:val="000000"/>
          <w:sz w:val="21"/>
          <w:szCs w:val="21"/>
          <w:lang w:val="pl-PL" w:bidi="ar-SA"/>
        </w:rPr>
        <w:t>Uwaga! − JEDZ</w:t>
      </w:r>
      <w:r>
        <w:rPr>
          <w:rFonts w:cs="Tahoma" w:ascii="Tahoma" w:hAnsi="Tahoma"/>
          <w:color w:val="000000"/>
          <w:sz w:val="21"/>
          <w:szCs w:val="21"/>
          <w:lang w:val="pl-PL" w:bidi="ar-SA"/>
        </w:rPr>
        <w:t xml:space="preserve"> został udostępniony przez Zamawiającego na Platformie e-Zamówienia i zamieszczony w podglądzie postępowania w zakładce „Informacje podstawowe” (stanowi załącznik nr 2 do SWZ). − JEDZ należy wypełnić i złożyć zgodnie z instrukcją „Oferty, wnioski i prace konkursowe” udostępnioną na Platformie e-Zamówienia. − Należy pamiętać o podpisaniu JEDZ kwalifikowanym podpisem elektronicznym przez osoby umocowane należycie do reprezentowania Wykonawcy/ podmiotu, na którego zdolnościach technicznych lub zawodowych polega Wykonawca.</w:t>
      </w:r>
      <w:r>
        <w:rPr>
          <w:rFonts w:eastAsia="Calibri" w:cs="Tahoma" w:ascii="Tahoma" w:hAnsi="Tahoma"/>
          <w:b w:val="false"/>
          <w:bCs w:val="false"/>
          <w:strike w:val="false"/>
          <w:dstrike w:val="false"/>
          <w:color w:val="000000"/>
          <w:sz w:val="21"/>
          <w:szCs w:val="21"/>
          <w:u w:val="none"/>
          <w:lang w:val="pl-PL" w:bidi="ar-SA"/>
        </w:rPr>
        <w:t xml:space="preserve"> ( Opis sposobu przygotowania  JEDZa w roz. XIII pkt. 22 SWZ)</w:t>
      </w:r>
    </w:p>
    <w:p>
      <w:pPr>
        <w:pStyle w:val="Normal"/>
        <w:ind w:hanging="141" w:left="850" w:right="0"/>
        <w:jc w:val="both"/>
        <w:rPr>
          <w:rFonts w:ascii="Tahoma" w:hAnsi="Tahoma" w:cs="Tahoma"/>
          <w:b/>
          <w:i w:val="false"/>
          <w:iCs w:val="false"/>
          <w:color w:val="000000"/>
          <w:sz w:val="21"/>
          <w:szCs w:val="21"/>
        </w:rPr>
      </w:pPr>
      <w:r>
        <w:rPr>
          <w:rFonts w:cs="Tahoma" w:ascii="Tahoma" w:hAnsi="Tahoma"/>
          <w:b/>
          <w:i w:val="false"/>
          <w:iCs w:val="false"/>
          <w:color w:val="000000"/>
          <w:sz w:val="21"/>
          <w:szCs w:val="21"/>
        </w:rPr>
        <w:t xml:space="preserve">- </w:t>
      </w:r>
      <w:r>
        <w:rPr>
          <w:rFonts w:cs="Tahoma" w:ascii="Tahoma" w:hAnsi="Tahoma"/>
          <w:i w:val="false"/>
          <w:iCs w:val="false"/>
          <w:color w:val="000000"/>
          <w:sz w:val="21"/>
          <w:szCs w:val="21"/>
        </w:rPr>
        <w:t xml:space="preserve">w Części II Sekcji D JEDZ (Informacje dotyczące podwykonawców, na których zdolności Wykonawca nie polega) Wykonawca oświadcza czy zamierza zlecić osobom trzecim podwykonawstwo jakiejkolwiek części zamówienia (w przypadku twierdzącej odpowiedzi podaje ponadto, </w:t>
      </w:r>
      <w:r>
        <w:rPr>
          <w:rFonts w:cs="Tahoma" w:ascii="Tahoma" w:hAnsi="Tahoma"/>
          <w:i w:val="false"/>
          <w:iCs w:val="false"/>
          <w:color w:val="000000"/>
          <w:sz w:val="21"/>
          <w:szCs w:val="21"/>
          <w:u w:val="single"/>
        </w:rPr>
        <w:t>o ile jest to wiadome</w:t>
      </w:r>
      <w:r>
        <w:rPr>
          <w:rFonts w:cs="Tahoma" w:ascii="Tahoma" w:hAnsi="Tahoma"/>
          <w:i w:val="false"/>
          <w:iCs w:val="false"/>
          <w:color w:val="000000"/>
          <w:sz w:val="21"/>
          <w:szCs w:val="21"/>
        </w:rPr>
        <w:t>, wykaz proponowanych podwykonawców), natomiast Wykonawca nie jest zobowiązany do przedstawienia w odniesieniu do tych podwykonawców odrębnych JEDZ, zawierających informacje wymagane w Części II Sekcja A i B oraz w Części III;</w:t>
      </w:r>
    </w:p>
    <w:p>
      <w:pPr>
        <w:pStyle w:val="Normal"/>
        <w:ind w:hanging="141" w:left="850" w:right="0"/>
        <w:jc w:val="both"/>
        <w:rPr>
          <w:rFonts w:ascii="Tahoma" w:hAnsi="Tahoma" w:cs="Tahoma"/>
          <w:b/>
          <w:i w:val="false"/>
          <w:iCs w:val="false"/>
          <w:color w:val="000000"/>
          <w:sz w:val="21"/>
          <w:szCs w:val="21"/>
        </w:rPr>
      </w:pPr>
      <w:r>
        <w:rPr>
          <w:rFonts w:cs="Tahoma" w:ascii="Tahoma" w:hAnsi="Tahoma"/>
          <w:b/>
          <w:i w:val="false"/>
          <w:iCs w:val="false"/>
          <w:color w:val="000000"/>
          <w:sz w:val="21"/>
          <w:szCs w:val="21"/>
        </w:rPr>
        <w:t xml:space="preserve">- </w:t>
      </w:r>
      <w:r>
        <w:rPr>
          <w:rFonts w:cs="Tahoma" w:ascii="Tahoma" w:hAnsi="Tahoma"/>
          <w:i w:val="false"/>
          <w:iCs w:val="false"/>
          <w:color w:val="000000"/>
          <w:sz w:val="21"/>
          <w:szCs w:val="21"/>
        </w:rPr>
        <w:t>w Części IV Zamawiający żąda jedynie ogólnego oświadczenia dotyczącego wszystkich kryteriów kwalifikacji (sekcja α), bez wypełniania poszczególnych Sekcji A, B, C i D;</w:t>
      </w:r>
    </w:p>
    <w:p>
      <w:pPr>
        <w:pStyle w:val="Normal"/>
        <w:ind w:hanging="141" w:left="850" w:right="0"/>
        <w:jc w:val="both"/>
        <w:rPr>
          <w:rFonts w:ascii="Tahoma" w:hAnsi="Tahoma" w:cs="Tahoma"/>
          <w:b/>
          <w:bCs/>
          <w:i w:val="false"/>
          <w:iCs w:val="false"/>
          <w:color w:val="000000"/>
          <w:sz w:val="21"/>
          <w:szCs w:val="21"/>
        </w:rPr>
      </w:pPr>
      <w:r>
        <w:rPr>
          <w:rFonts w:cs="Tahoma" w:ascii="Tahoma" w:hAnsi="Tahoma"/>
          <w:b/>
          <w:i w:val="false"/>
          <w:iCs w:val="false"/>
          <w:color w:val="000000"/>
          <w:sz w:val="21"/>
          <w:szCs w:val="21"/>
        </w:rPr>
        <w:t xml:space="preserve">- </w:t>
      </w:r>
      <w:r>
        <w:rPr>
          <w:rFonts w:cs="Tahoma" w:ascii="Tahoma" w:hAnsi="Tahoma"/>
          <w:i w:val="false"/>
          <w:iCs w:val="false"/>
          <w:color w:val="000000"/>
          <w:sz w:val="21"/>
          <w:szCs w:val="21"/>
        </w:rPr>
        <w:t>Część V (Ograniczenie liczby kwalifikujących się kandydatów) należy pozostawić niewypełnioną.</w:t>
      </w:r>
    </w:p>
    <w:p>
      <w:pPr>
        <w:pStyle w:val="Normal"/>
        <w:widowControl w:val="false"/>
        <w:ind w:hanging="15" w:right="0"/>
        <w:jc w:val="both"/>
        <w:rPr>
          <w:rFonts w:ascii="Tahoma" w:hAnsi="Tahoma" w:cs="Tahoma"/>
          <w:b/>
          <w:bCs/>
          <w:color w:val="000000"/>
          <w:sz w:val="21"/>
          <w:szCs w:val="21"/>
          <w:shd w:fill="FFFFFF" w:val="clear"/>
        </w:rPr>
      </w:pPr>
      <w:r>
        <w:rPr>
          <w:rFonts w:cs="Tahoma" w:ascii="Tahoma" w:hAnsi="Tahoma"/>
          <w:b/>
          <w:bCs/>
          <w:i w:val="false"/>
          <w:iCs w:val="false"/>
          <w:color w:val="000000"/>
          <w:sz w:val="21"/>
          <w:szCs w:val="21"/>
        </w:rPr>
        <w:t>2) Wykonawca/ wykonawca wspólnie ubiegający się o zamówienie składa wraz z ofertą odrębne oświadczenie,</w:t>
      </w:r>
      <w:r>
        <w:rPr>
          <w:rFonts w:cs="Tahoma" w:ascii="Tahoma" w:hAnsi="Tahoma"/>
          <w:b w:val="false"/>
          <w:bCs w:val="false"/>
          <w:i w:val="false"/>
          <w:iCs w:val="false"/>
          <w:color w:val="000000"/>
          <w:sz w:val="21"/>
          <w:szCs w:val="21"/>
        </w:rPr>
        <w:t xml:space="preserve"> z którego wynikać będzie brak podstaw do wykluczenia na</w:t>
      </w:r>
      <w:r>
        <w:rPr>
          <w:rFonts w:cs="Tahoma" w:ascii="Tahoma" w:hAnsi="Tahoma"/>
          <w:b w:val="false"/>
          <w:bCs w:val="false"/>
          <w:i w:val="false"/>
          <w:iCs w:val="false"/>
          <w:color w:val="000000"/>
          <w:sz w:val="21"/>
          <w:szCs w:val="21"/>
          <w:u w:val="single"/>
        </w:rPr>
        <w:t xml:space="preserve"> podstawie art. </w:t>
      </w:r>
      <w:r>
        <w:rPr>
          <w:rFonts w:eastAsia="Andale Sans UI;Arial Unicode MS" w:cs="Tahoma" w:ascii="Tahoma" w:hAnsi="Tahoma"/>
          <w:b w:val="false"/>
          <w:bCs w:val="false"/>
          <w:i w:val="false"/>
          <w:iCs w:val="false"/>
          <w:color w:val="000000"/>
          <w:kern w:val="2"/>
          <w:sz w:val="21"/>
          <w:szCs w:val="21"/>
          <w:u w:val="single"/>
          <w:lang w:val="zxx" w:eastAsia="zxx" w:bidi="zxx"/>
        </w:rPr>
        <w:t>5K</w:t>
      </w:r>
      <w:r>
        <w:rPr>
          <w:rFonts w:eastAsia="Andale Sans UI;Arial Unicode MS" w:cs="Tahoma" w:ascii="Tahoma" w:hAnsi="Tahoma"/>
          <w:b w:val="false"/>
          <w:bCs w:val="false"/>
          <w:i w:val="false"/>
          <w:iCs w:val="false"/>
          <w:color w:val="000000"/>
          <w:kern w:val="2"/>
          <w:sz w:val="21"/>
          <w:szCs w:val="21"/>
          <w:lang w:val="zxx" w:eastAsia="zxx" w:bidi="zxx"/>
        </w:rPr>
        <w:t xml:space="preserve"> rozporządzenia 833/2014 oraz </w:t>
      </w:r>
      <w:r>
        <w:rPr>
          <w:rFonts w:eastAsia="Calibri" w:cs="Tahoma" w:ascii="Tahoma" w:hAnsi="Tahoma"/>
          <w:b w:val="false"/>
          <w:bCs w:val="false"/>
          <w:i w:val="false"/>
          <w:iCs w:val="false"/>
          <w:strike w:val="false"/>
          <w:dstrike w:val="false"/>
          <w:color w:val="000000"/>
          <w:kern w:val="2"/>
          <w:sz w:val="21"/>
          <w:szCs w:val="21"/>
          <w:u w:val="none"/>
          <w:lang w:val="zxx" w:eastAsia="zxx" w:bidi="zxx"/>
        </w:rPr>
        <w:t xml:space="preserve">na podstawie art. 7 ust. 1 ustawy o szczególnych rozwiązaniach w zakresie przeciwdziałania wspieraniu agresji na Ukrainę oraz służących ochronie bezpieczeństwa narodowego. </w:t>
      </w:r>
      <w:r>
        <w:rPr>
          <w:rFonts w:eastAsia="Andale Sans UI;Arial Unicode MS" w:cs="Tahoma" w:ascii="Tahoma" w:hAnsi="Tahoma"/>
          <w:b w:val="false"/>
          <w:bCs w:val="false"/>
          <w:i w:val="false"/>
          <w:iCs w:val="false"/>
          <w:color w:val="000000"/>
          <w:kern w:val="2"/>
          <w:sz w:val="21"/>
          <w:szCs w:val="21"/>
          <w:shd w:fill="FFFFFF" w:val="clear"/>
          <w:lang w:val="zxx" w:eastAsia="zxx" w:bidi="zxx"/>
        </w:rPr>
        <w:t xml:space="preserve">– </w:t>
      </w:r>
      <w:r>
        <w:rPr>
          <w:rFonts w:eastAsia="Andale Sans UI;Arial Unicode MS" w:cs="Tahoma" w:ascii="Tahoma" w:hAnsi="Tahoma"/>
          <w:b w:val="false"/>
          <w:bCs w:val="false"/>
          <w:i w:val="false"/>
          <w:iCs w:val="false"/>
          <w:color w:val="000000"/>
          <w:kern w:val="2"/>
          <w:sz w:val="21"/>
          <w:szCs w:val="21"/>
          <w:u w:val="single"/>
          <w:shd w:fill="FFFFFF" w:val="clear"/>
          <w:lang w:val="zxx" w:eastAsia="zxx" w:bidi="zxx"/>
        </w:rPr>
        <w:t>załącznik nr  6 do SWZ</w:t>
      </w:r>
      <w:r>
        <w:rPr>
          <w:rFonts w:eastAsia="Andale Sans UI;Arial Unicode MS" w:cs="Tahoma" w:ascii="Tahoma" w:hAnsi="Tahoma"/>
          <w:b/>
          <w:bCs/>
          <w:i w:val="false"/>
          <w:iCs w:val="false"/>
          <w:color w:val="000000"/>
          <w:kern w:val="2"/>
          <w:sz w:val="21"/>
          <w:szCs w:val="21"/>
          <w:u w:val="single"/>
          <w:shd w:fill="FFFFFF" w:val="clear"/>
          <w:lang w:val="zxx" w:eastAsia="zxx" w:bidi="zxx"/>
        </w:rPr>
        <w:t>.</w:t>
      </w:r>
    </w:p>
    <w:p>
      <w:pPr>
        <w:pStyle w:val="pkt"/>
        <w:ind w:hanging="426" w:left="426" w:right="0"/>
        <w:jc w:val="both"/>
        <w:rPr>
          <w:rFonts w:ascii="Tahoma" w:hAnsi="Tahoma" w:cs="Tahoma"/>
          <w:b/>
          <w:color w:val="000000"/>
          <w:sz w:val="21"/>
          <w:szCs w:val="21"/>
          <w:u w:val="single"/>
        </w:rPr>
      </w:pPr>
      <w:r>
        <w:rPr>
          <w:rFonts w:cs="Tahoma" w:ascii="Tahoma" w:hAnsi="Tahoma"/>
          <w:b/>
          <w:bCs/>
          <w:color w:val="000000"/>
          <w:sz w:val="21"/>
          <w:szCs w:val="21"/>
          <w:shd w:fill="FFFFFF" w:val="clear"/>
        </w:rPr>
        <w:t xml:space="preserve">2. </w:t>
      </w:r>
      <w:r>
        <w:rPr>
          <w:rFonts w:cs="Tahoma" w:ascii="Tahoma" w:hAnsi="Tahoma"/>
          <w:b/>
          <w:bCs/>
          <w:color w:val="000000"/>
          <w:sz w:val="21"/>
          <w:szCs w:val="21"/>
          <w:u w:val="single"/>
          <w:shd w:fill="FFFFFF" w:val="clear"/>
        </w:rPr>
        <w:t xml:space="preserve">Zamawiający przed wyborem najkorzystniejszej oferty wezwie Wykonawcę, którego oferta została najwyżej oceniona, </w:t>
      </w:r>
      <w:r>
        <w:rPr>
          <w:rFonts w:cs="Tahoma" w:ascii="Tahoma" w:hAnsi="Tahoma"/>
          <w:b/>
          <w:bCs/>
          <w:color w:val="000000"/>
          <w:sz w:val="21"/>
          <w:szCs w:val="21"/>
          <w:u w:val="single"/>
        </w:rPr>
        <w:t>do</w:t>
      </w:r>
      <w:r>
        <w:rPr>
          <w:rFonts w:cs="Tahoma" w:ascii="Tahoma" w:hAnsi="Tahoma"/>
          <w:b/>
          <w:bCs/>
          <w:color w:val="000000"/>
          <w:sz w:val="21"/>
          <w:szCs w:val="21"/>
          <w:u w:val="single"/>
          <w:shd w:fill="FFFFFF" w:val="clear"/>
        </w:rPr>
        <w:t xml:space="preserve"> złożenia w wyznaczonym terminie, nie krótszym niż 10 dni, aktualnych na dzień złożenia podmiotowych środków dowodowych- zastosowanie tzw. procedury odwróconej, o której mowa w art. 139 ust. 1 ustawy PZP:</w:t>
      </w:r>
    </w:p>
    <w:p>
      <w:pPr>
        <w:pStyle w:val="Normal"/>
        <w:numPr>
          <w:ilvl w:val="0"/>
          <w:numId w:val="0"/>
        </w:numPr>
        <w:spacing w:before="0" w:after="0"/>
        <w:ind w:hanging="0" w:left="0" w:right="0"/>
        <w:contextualSpacing/>
        <w:jc w:val="both"/>
        <w:rPr>
          <w:rFonts w:ascii="Tahoma" w:hAnsi="Tahoma" w:eastAsia="Tahoma" w:cs="Tahoma"/>
          <w:b/>
          <w:bCs/>
          <w:color w:val="000000"/>
          <w:sz w:val="21"/>
          <w:szCs w:val="21"/>
          <w:lang w:val="pl-PL" w:bidi="ar-SA"/>
        </w:rPr>
      </w:pPr>
      <w:r>
        <w:rPr>
          <w:rFonts w:cs="Tahoma" w:ascii="Tahoma" w:hAnsi="Tahoma"/>
          <w:b/>
          <w:color w:val="000000"/>
          <w:sz w:val="21"/>
          <w:szCs w:val="21"/>
          <w:u w:val="single"/>
        </w:rPr>
        <w:t xml:space="preserve">2.1 Informacja z Krajowego Rejestru Karnego </w:t>
      </w:r>
      <w:r>
        <w:rPr>
          <w:rFonts w:cs="Tahoma" w:ascii="Tahoma" w:hAnsi="Tahoma"/>
          <w:color w:val="000000"/>
          <w:sz w:val="21"/>
          <w:szCs w:val="21"/>
          <w:u w:val="single"/>
        </w:rPr>
        <w:t>w zakresie dotyczącym podst</w:t>
      </w:r>
      <w:r>
        <w:rPr>
          <w:rFonts w:cs="Tahoma" w:ascii="Tahoma" w:hAnsi="Tahoma"/>
          <w:color w:val="000000"/>
          <w:sz w:val="21"/>
          <w:szCs w:val="21"/>
        </w:rPr>
        <w:t>aw wykluczenia wskazanych w art. 108 ust. 1 pkt 1,2 i 4 Ustawy Pzp. sporządzona nie wcześniej niż 6 miesięcy przed jej złożeniem</w:t>
      </w:r>
    </w:p>
    <w:p>
      <w:pPr>
        <w:pStyle w:val="Normal"/>
        <w:spacing w:before="120" w:after="120"/>
        <w:ind w:right="0"/>
        <w:jc w:val="both"/>
        <w:rPr>
          <w:rFonts w:ascii="Tahoma" w:hAnsi="Tahoma" w:cs="Tahoma"/>
          <w:b/>
          <w:bCs/>
          <w:color w:val="000000"/>
          <w:sz w:val="21"/>
          <w:szCs w:val="21"/>
          <w:lang w:val="pl-PL" w:bidi="ar-SA"/>
        </w:rPr>
      </w:pPr>
      <w:r>
        <w:rPr>
          <w:rFonts w:eastAsia="Tahoma" w:cs="Tahoma" w:ascii="Tahoma" w:hAnsi="Tahoma"/>
          <w:b/>
          <w:bCs/>
          <w:color w:val="000000"/>
          <w:sz w:val="21"/>
          <w:szCs w:val="21"/>
          <w:lang w:val="pl-PL" w:bidi="ar-SA"/>
        </w:rPr>
        <w:t xml:space="preserve">2.2 </w:t>
      </w:r>
      <w:r>
        <w:rPr>
          <w:rFonts w:cs="Tahoma" w:ascii="Tahoma" w:hAnsi="Tahoma"/>
          <w:b/>
          <w:bCs/>
          <w:color w:val="000000"/>
          <w:sz w:val="21"/>
          <w:szCs w:val="21"/>
          <w:lang w:val="pl-PL" w:bidi="ar-SA"/>
        </w:rPr>
        <w:t xml:space="preserve">zaświadczenia </w:t>
      </w:r>
      <w:r>
        <w:rPr>
          <w:rFonts w:cs="Tahoma" w:ascii="Tahoma" w:hAnsi="Tahoma"/>
          <w:b w:val="false"/>
          <w:bCs w:val="false"/>
          <w:color w:val="000000"/>
          <w:sz w:val="21"/>
          <w:szCs w:val="21"/>
          <w:lang w:val="pl-PL" w:bidi="ar-SA"/>
        </w:rPr>
        <w:t xml:space="preserve">właściwego naczelnika urzędu skarbowego </w:t>
      </w:r>
      <w:r>
        <w:rPr>
          <w:rFonts w:cs="Tahoma" w:ascii="Tahoma" w:hAnsi="Tahoma"/>
          <w:color w:val="000000"/>
          <w:sz w:val="21"/>
          <w:szCs w:val="21"/>
          <w:lang w:val="pl-PL" w:bidi="ar-SA"/>
        </w:rPr>
        <w:t xml:space="preserve">potwierdzającego, że wykonawca nie zalega z opłacaniem podatków i opłat, w zakresie art. 109 ust. 1 pkt 1 ustawy Pzp, </w:t>
      </w:r>
      <w:r>
        <w:rPr>
          <w:rFonts w:cs="Tahoma" w:ascii="Tahoma" w:hAnsi="Tahoma"/>
          <w:color w:val="000000"/>
          <w:sz w:val="21"/>
          <w:szCs w:val="21"/>
          <w:u w:val="single"/>
          <w:lang w:val="pl-PL" w:bidi="ar-SA"/>
        </w:rPr>
        <w:t>wystawionego nie wcześniej niż 3 miesiące przed jego złożeniem</w:t>
      </w:r>
      <w:r>
        <w:rPr>
          <w:rFonts w:cs="Tahoma" w:ascii="Tahoma" w:hAnsi="Tahoma"/>
          <w:color w:val="000000"/>
          <w:sz w:val="21"/>
          <w:szCs w:val="21"/>
          <w:lang w:val="pl-PL" w:bidi="ar-SA"/>
        </w:rPr>
        <w:t>,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pPr>
        <w:pStyle w:val="Normal"/>
        <w:spacing w:before="6" w:after="6"/>
        <w:ind w:right="0"/>
        <w:jc w:val="both"/>
        <w:rPr>
          <w:rFonts w:ascii="Tahoma" w:hAnsi="Tahoma" w:cs="Tahoma"/>
          <w:b/>
          <w:bCs/>
          <w:color w:val="000000"/>
          <w:sz w:val="21"/>
          <w:szCs w:val="21"/>
        </w:rPr>
      </w:pPr>
      <w:r>
        <w:rPr>
          <w:rFonts w:cs="Tahoma" w:ascii="Tahoma" w:hAnsi="Tahoma"/>
          <w:b/>
          <w:bCs/>
          <w:color w:val="000000"/>
          <w:sz w:val="21"/>
          <w:szCs w:val="21"/>
          <w:lang w:val="pl-PL" w:bidi="ar-SA"/>
        </w:rPr>
        <w:t>2.3 zaświadczenia albo innego dokumentu</w:t>
      </w:r>
      <w:r>
        <w:rPr>
          <w:rFonts w:cs="Tahoma" w:ascii="Tahoma" w:hAnsi="Tahoma"/>
          <w:color w:val="000000"/>
          <w:sz w:val="21"/>
          <w:szCs w:val="21"/>
          <w:lang w:val="pl-PL" w:bidi="ar-SA"/>
        </w:rPr>
        <w:t xml:space="preserve">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art. 109 ust. 1 pkt 1 ustawy Pzp, </w:t>
      </w:r>
      <w:r>
        <w:rPr>
          <w:rFonts w:cs="Tahoma" w:ascii="Tahoma" w:hAnsi="Tahoma"/>
          <w:color w:val="000000"/>
          <w:sz w:val="21"/>
          <w:szCs w:val="21"/>
          <w:u w:val="single"/>
          <w:lang w:val="pl-PL" w:bidi="ar-SA"/>
        </w:rPr>
        <w:t>wystawionego nie wcześniej niż 3 miesiące przed jego złożeniem,</w:t>
      </w:r>
      <w:r>
        <w:rPr>
          <w:rFonts w:cs="Tahoma" w:ascii="Tahoma" w:hAnsi="Tahoma"/>
          <w:color w:val="000000"/>
          <w:sz w:val="21"/>
          <w:szCs w:val="21"/>
          <w:lang w:val="pl-PL" w:bidi="ar-SA"/>
        </w:rPr>
        <w:t xml:space="preserve">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p>
    <w:p>
      <w:pPr>
        <w:pStyle w:val="Normal"/>
        <w:numPr>
          <w:ilvl w:val="0"/>
          <w:numId w:val="0"/>
        </w:numPr>
        <w:spacing w:before="0" w:after="0"/>
        <w:ind w:hanging="0" w:left="0" w:right="0"/>
        <w:contextualSpacing/>
        <w:jc w:val="both"/>
        <w:rPr>
          <w:rFonts w:ascii="Tahoma" w:hAnsi="Tahoma" w:cs="Tahoma"/>
          <w:b/>
          <w:bCs/>
          <w:color w:val="000000"/>
          <w:sz w:val="21"/>
          <w:szCs w:val="21"/>
        </w:rPr>
      </w:pPr>
      <w:r>
        <w:rPr>
          <w:rFonts w:cs="Tahoma" w:ascii="Tahoma" w:hAnsi="Tahoma"/>
          <w:b/>
          <w:bCs/>
          <w:color w:val="000000"/>
          <w:sz w:val="21"/>
          <w:szCs w:val="21"/>
        </w:rPr>
        <w:t>2.4 Oświadczenie Wykonawcy</w:t>
      </w:r>
      <w:r>
        <w:rPr>
          <w:rFonts w:cs="Tahoma" w:ascii="Tahoma" w:hAnsi="Tahoma"/>
          <w:color w:val="000000"/>
          <w:sz w:val="21"/>
          <w:szCs w:val="21"/>
        </w:rPr>
        <w:t xml:space="preserve">, w zakresie art. 108 ust. 1 pkt 5 Ustawy Pzp, o braku przynależności do tej samej grupy kapitałowej, w rozumieniu ustawy z dnia 16.02.2007 r. o ochronie konkurencji i konsumentów (Dz. U. z 2021 r. poz. 275),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Pr>
          <w:rFonts w:cs="Tahoma" w:ascii="Tahoma" w:hAnsi="Tahoma"/>
          <w:b w:val="false"/>
          <w:bCs w:val="false"/>
          <w:color w:val="000000"/>
          <w:sz w:val="21"/>
          <w:szCs w:val="21"/>
        </w:rPr>
        <w:t>załącznik nr 3 do SWZ</w:t>
      </w:r>
    </w:p>
    <w:p>
      <w:pPr>
        <w:pStyle w:val="Normal"/>
        <w:numPr>
          <w:ilvl w:val="0"/>
          <w:numId w:val="0"/>
        </w:numPr>
        <w:spacing w:before="0" w:after="0"/>
        <w:ind w:hanging="0" w:left="0" w:right="0"/>
        <w:contextualSpacing/>
        <w:jc w:val="both"/>
        <w:rPr>
          <w:rFonts w:ascii="Tahoma" w:hAnsi="Tahoma" w:cs="Tahoma"/>
          <w:b/>
          <w:color w:val="000000"/>
          <w:sz w:val="21"/>
          <w:szCs w:val="21"/>
          <w:lang w:val="pl-PL" w:bidi="ar-SA"/>
        </w:rPr>
      </w:pPr>
      <w:r>
        <w:rPr>
          <w:rFonts w:cs="Tahoma" w:ascii="Tahoma" w:hAnsi="Tahoma"/>
          <w:b/>
          <w:bCs/>
          <w:color w:val="000000"/>
          <w:sz w:val="21"/>
          <w:szCs w:val="21"/>
        </w:rPr>
        <w:t>2.5</w:t>
      </w:r>
      <w:r>
        <w:rPr>
          <w:rFonts w:cs="Tahoma" w:ascii="Tahoma" w:hAnsi="Tahoma"/>
          <w:color w:val="000000"/>
          <w:sz w:val="21"/>
          <w:szCs w:val="21"/>
        </w:rPr>
        <w:t xml:space="preserve"> </w:t>
      </w:r>
      <w:r>
        <w:rPr>
          <w:rFonts w:cs="Tahoma" w:ascii="Tahoma" w:hAnsi="Tahoma"/>
          <w:b/>
          <w:bCs/>
          <w:color w:val="000000"/>
          <w:sz w:val="21"/>
          <w:szCs w:val="21"/>
        </w:rPr>
        <w:t>Odpisu lub informacji z Krajowego Rejestru Sądowego lub z Centralnej Ewidencji i Informacji o Działalności Gospodarczej</w:t>
      </w:r>
      <w:r>
        <w:rPr>
          <w:rFonts w:cs="Tahoma" w:ascii="Tahoma" w:hAnsi="Tahoma"/>
          <w:color w:val="000000"/>
          <w:sz w:val="21"/>
          <w:szCs w:val="21"/>
        </w:rPr>
        <w:t>, w zakresie art. 109 ust. 1 pkt 4 ustawy, sporządzonych nie wcześniej niż 3 miesiące przed jej złożeniem, jeżeli odrębne przepisy wymagają wpisu do rejestru lub ewidencji.</w:t>
      </w:r>
    </w:p>
    <w:p>
      <w:pPr>
        <w:pStyle w:val="Normal"/>
        <w:widowControl w:val="false"/>
        <w:numPr>
          <w:ilvl w:val="0"/>
          <w:numId w:val="0"/>
        </w:numPr>
        <w:suppressAutoHyphens w:val="true"/>
        <w:overflowPunct w:val="false"/>
        <w:bidi w:val="0"/>
        <w:spacing w:before="0" w:after="0"/>
        <w:ind w:hanging="0" w:left="0" w:right="0"/>
        <w:contextualSpacing/>
        <w:jc w:val="both"/>
        <w:rPr>
          <w:rFonts w:ascii="Tahoma" w:hAnsi="Tahoma" w:cs="Tahoma"/>
          <w:b/>
          <w:bCs/>
          <w:color w:val="000000"/>
          <w:sz w:val="21"/>
          <w:szCs w:val="21"/>
          <w:lang w:val="pl-PL" w:bidi="ar-SA"/>
        </w:rPr>
      </w:pPr>
      <w:r>
        <w:rPr>
          <w:rFonts w:cs="Tahoma" w:ascii="Tahoma" w:hAnsi="Tahoma"/>
          <w:b/>
          <w:color w:val="000000"/>
          <w:sz w:val="21"/>
          <w:szCs w:val="21"/>
          <w:lang w:val="pl-PL" w:bidi="ar-SA"/>
        </w:rPr>
        <w:t xml:space="preserve">2.6 Oświadczenie wykonawcy </w:t>
      </w:r>
      <w:r>
        <w:rPr>
          <w:rFonts w:cs="Tahoma" w:ascii="Tahoma" w:hAnsi="Tahoma"/>
          <w:color w:val="000000"/>
          <w:sz w:val="21"/>
          <w:szCs w:val="21"/>
          <w:lang w:val="pl-PL" w:bidi="ar-SA"/>
        </w:rPr>
        <w:t>o aktualności informacji zawartych w oświadczeniu, o którym mowa w art. 125 ust. 1 Ustawy Pzp w zakresie odnoszącym się do podstaw wykluczenia wskazanych w</w:t>
      </w:r>
      <w:r>
        <w:rPr>
          <w:rFonts w:cs="Tahoma" w:ascii="Tahoma" w:hAnsi="Tahoma"/>
          <w:b/>
          <w:bCs/>
          <w:color w:val="000000"/>
          <w:sz w:val="21"/>
          <w:szCs w:val="21"/>
          <w:lang w:val="pl-PL" w:bidi="ar-SA"/>
        </w:rPr>
        <w:t xml:space="preserve"> </w:t>
      </w:r>
      <w:r>
        <w:rPr>
          <w:rFonts w:cs="Tahoma" w:ascii="Tahoma" w:hAnsi="Tahoma"/>
          <w:b w:val="false"/>
          <w:bCs w:val="false"/>
          <w:color w:val="000000"/>
          <w:sz w:val="21"/>
          <w:szCs w:val="21"/>
          <w:lang w:val="pl-PL" w:bidi="ar-SA"/>
        </w:rPr>
        <w:t>niniejszym SWZ</w:t>
      </w:r>
    </w:p>
    <w:p>
      <w:pPr>
        <w:pStyle w:val="Normal"/>
        <w:widowControl w:val="false"/>
        <w:numPr>
          <w:ilvl w:val="0"/>
          <w:numId w:val="0"/>
        </w:numPr>
        <w:suppressAutoHyphens w:val="true"/>
        <w:overflowPunct w:val="false"/>
        <w:bidi w:val="0"/>
        <w:spacing w:before="0" w:after="0"/>
        <w:ind w:hanging="0" w:left="0" w:right="0"/>
        <w:contextualSpacing/>
        <w:jc w:val="both"/>
        <w:rPr>
          <w:rFonts w:ascii="Tahoma" w:hAnsi="Tahoma" w:cs="Tahoma"/>
          <w:sz w:val="21"/>
          <w:szCs w:val="21"/>
        </w:rPr>
      </w:pPr>
      <w:r>
        <w:rPr>
          <w:rFonts w:cs="Tahoma" w:ascii="Tahoma" w:hAnsi="Tahoma"/>
          <w:b/>
          <w:bCs/>
          <w:color w:val="000000"/>
          <w:sz w:val="21"/>
          <w:szCs w:val="21"/>
          <w:lang w:val="pl-PL" w:bidi="ar-SA"/>
        </w:rPr>
        <w:t>2.7</w:t>
      </w:r>
      <w:r>
        <w:rPr>
          <w:rFonts w:cs="Tahoma" w:ascii="Tahoma" w:hAnsi="Tahoma"/>
          <w:color w:val="000000"/>
          <w:sz w:val="21"/>
          <w:szCs w:val="21"/>
          <w:lang w:val="pl-PL" w:bidi="ar-SA"/>
        </w:rPr>
        <w:t xml:space="preserve"> </w:t>
      </w:r>
      <w:r>
        <w:rPr>
          <w:rFonts w:cs="Tahoma" w:ascii="Tahoma" w:hAnsi="Tahoma"/>
          <w:sz w:val="21"/>
          <w:szCs w:val="21"/>
        </w:rPr>
        <w:t>Jeżeli Wykonawca ma siedzibę lub miejsce zamieszkania poza granicami Rzeczypospolitej Polskiej:</w:t>
      </w:r>
    </w:p>
    <w:p>
      <w:pPr>
        <w:pStyle w:val="Normal"/>
        <w:numPr>
          <w:ilvl w:val="0"/>
          <w:numId w:val="0"/>
        </w:numPr>
        <w:spacing w:before="0" w:after="0"/>
        <w:ind w:hanging="0" w:left="0" w:right="0"/>
        <w:jc w:val="both"/>
        <w:rPr>
          <w:rFonts w:ascii="Tahoma" w:hAnsi="Tahoma" w:cs="Tahoma"/>
          <w:sz w:val="21"/>
          <w:szCs w:val="21"/>
        </w:rPr>
      </w:pPr>
      <w:r>
        <w:rPr>
          <w:rFonts w:cs="Tahoma" w:ascii="Tahoma" w:hAnsi="Tahoma"/>
          <w:sz w:val="21"/>
          <w:szCs w:val="21"/>
        </w:rPr>
        <w:t xml:space="preserve">a) zamiast dokumentów, o których mowa w pkt. 2.1, składa informację z odpowiedniego rejestru, takiego jak rejestr sądowy, albo, w przypadku braku takiego rejestru, inny równoważny dokument wydany przez właściwy organ sądowy lub administracyjny kraju, w którym wykonawca ma siedzibę lub miejsce zamieszkania - wystawione nie wcześniej niż 6 miesięcy przed jego złożeniem </w:t>
      </w:r>
    </w:p>
    <w:p>
      <w:pPr>
        <w:pStyle w:val="Normal"/>
        <w:numPr>
          <w:ilvl w:val="0"/>
          <w:numId w:val="0"/>
        </w:numPr>
        <w:spacing w:before="0" w:after="0"/>
        <w:ind w:hanging="0" w:left="0" w:right="0"/>
        <w:jc w:val="both"/>
        <w:rPr>
          <w:rFonts w:ascii="Tahoma" w:hAnsi="Tahoma" w:cs="Tahoma"/>
          <w:sz w:val="21"/>
          <w:szCs w:val="21"/>
        </w:rPr>
      </w:pPr>
      <w:r>
        <w:rPr>
          <w:rFonts w:cs="Tahoma" w:ascii="Tahoma" w:hAnsi="Tahoma"/>
          <w:sz w:val="21"/>
          <w:szCs w:val="21"/>
        </w:rPr>
        <w:t xml:space="preserve">b) zamiast dokumentów, o których mowa w pkt. 2.5, składa dokument lub dokumenty wystawione w kraju, w którym wykonawca ma siedzibę lub miejsce zamieszkania, potwierdzające odpowiednio, że: </w:t>
      </w:r>
    </w:p>
    <w:p>
      <w:pPr>
        <w:pStyle w:val="Normal"/>
        <w:spacing w:before="0" w:after="0"/>
        <w:ind w:right="0"/>
        <w:jc w:val="both"/>
        <w:rPr>
          <w:rFonts w:ascii="Tahoma" w:hAnsi="Tahoma" w:cs="Tahoma"/>
          <w:b/>
          <w:bCs/>
          <w:sz w:val="21"/>
          <w:szCs w:val="21"/>
        </w:rPr>
      </w:pPr>
      <w:r>
        <w:rPr>
          <w:rFonts w:cs="Tahoma" w:ascii="Tahoma" w:hAnsi="Tahoma"/>
          <w:sz w:val="21"/>
          <w:szCs w:val="21"/>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pPr>
        <w:pStyle w:val="Normal"/>
        <w:spacing w:before="0" w:after="0"/>
        <w:ind w:right="0"/>
        <w:jc w:val="both"/>
        <w:rPr>
          <w:rFonts w:ascii="Tahoma" w:hAnsi="Tahoma" w:cs="Tahoma"/>
          <w:b/>
          <w:bCs/>
          <w:sz w:val="21"/>
          <w:szCs w:val="21"/>
        </w:rPr>
      </w:pPr>
      <w:r>
        <w:rPr>
          <w:rFonts w:cs="Tahoma" w:ascii="Tahoma" w:hAnsi="Tahoma"/>
          <w:b/>
          <w:bCs/>
          <w:sz w:val="21"/>
          <w:szCs w:val="21"/>
        </w:rPr>
        <w:t>2.8</w:t>
      </w:r>
      <w:r>
        <w:rPr>
          <w:rFonts w:cs="Tahoma" w:ascii="Tahoma" w:hAnsi="Tahoma"/>
          <w:sz w:val="21"/>
          <w:szCs w:val="21"/>
        </w:rPr>
        <w:t xml:space="preserve"> Jeżeli w kraju, w którym wykonawca ma siedzibę lub miejsce zamieszkania, nie wydaje się dokumentów, o których mowa w pkt. 2.7,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Wymagania dotyczące terminu wystawienia dokumentów lub oświadczeń są analogiczne jak w pkt. 2.7</w:t>
      </w:r>
    </w:p>
    <w:p>
      <w:pPr>
        <w:pStyle w:val="Normal"/>
        <w:spacing w:before="0" w:after="0"/>
        <w:ind w:right="0"/>
        <w:jc w:val="both"/>
        <w:rPr>
          <w:rFonts w:ascii="Tahoma" w:hAnsi="Tahoma" w:cs="Tahoma"/>
          <w:b/>
          <w:bCs/>
          <w:sz w:val="21"/>
          <w:szCs w:val="21"/>
        </w:rPr>
      </w:pPr>
      <w:r>
        <w:rPr>
          <w:rFonts w:cs="Tahoma" w:ascii="Tahoma" w:hAnsi="Tahoma"/>
          <w:b/>
          <w:bCs/>
          <w:sz w:val="21"/>
          <w:szCs w:val="21"/>
        </w:rPr>
        <w:t>2.9</w:t>
      </w:r>
      <w:r>
        <w:rPr>
          <w:rFonts w:cs="Tahoma" w:ascii="Tahoma" w:hAnsi="Tahoma"/>
          <w:sz w:val="21"/>
          <w:szCs w:val="21"/>
        </w:rPr>
        <w:t xml:space="preserve"> Zamawiający nie wzywa do złożenia podmiotowych środków dowodowych, jeżeli może je uzyskać za pomocą bezpłatnych i ogólnodostępnych baz danych, w szczególności rejestrów publicznych w rozumieniu ustawy z dnia 17.02.2005 r. o informatyzacji działalności podmiotów realizujących zadania publiczne, o ile wykonawca wskazał w jednolitym dokumencie dane umożliwiające dostęp do tych środków, a także wówczas gdy podmiotowym środkiem dowodowym jest oświadczenie, którego treść odpowiada zakresowi oświadczenia, o którym mowa w art. 125 ust. 1 ustawy PZP. Wykonawca nie jest zobowiązany do złożenia podmiotowych środków dowodowych, które zamawiający posiada, jeżeli wykonawca wskaże te środki oraz potwierdzi ich prawidłowość i aktualność.</w:t>
      </w:r>
    </w:p>
    <w:p>
      <w:pPr>
        <w:pStyle w:val="Normal"/>
        <w:spacing w:before="0" w:after="0"/>
        <w:ind w:right="0"/>
        <w:jc w:val="both"/>
        <w:rPr>
          <w:rFonts w:ascii="Tahoma" w:hAnsi="Tahoma" w:cs="Tahoma"/>
          <w:sz w:val="21"/>
          <w:szCs w:val="21"/>
        </w:rPr>
      </w:pPr>
      <w:r>
        <w:rPr>
          <w:rFonts w:cs="Tahoma" w:ascii="Tahoma" w:hAnsi="Tahoma"/>
          <w:b/>
          <w:bCs/>
          <w:sz w:val="21"/>
          <w:szCs w:val="21"/>
        </w:rPr>
        <w:t xml:space="preserve">2.9.1 </w:t>
      </w:r>
      <w:r>
        <w:rPr>
          <w:rFonts w:cs="Tahoma" w:ascii="Tahoma" w:hAnsi="Tahoma"/>
          <w:sz w:val="21"/>
          <w:szCs w:val="21"/>
        </w:rPr>
        <w:t xml:space="preserve">W zakresie nieuregulowanym ustawą Ustawy Pzp lub niniejszą SWZ do oświadczeń i dokumentów składanych przez Wykonawcę w postępowaniu, zastosowanie mają przepisy rozporządzenia Ministra Rozwoju, Pracy i Technologii z dnia 23 grudnia 2020 r. </w:t>
      </w:r>
      <w:r>
        <w:rPr>
          <w:rFonts w:cs="Tahoma" w:ascii="Tahoma" w:hAnsi="Tahoma"/>
          <w:i/>
          <w:sz w:val="21"/>
          <w:szCs w:val="21"/>
        </w:rPr>
        <w:t xml:space="preserve">w sprawie podmiotowych środków dowodowych oraz innych dokumentów lub oświadczeń, jakich może żądać zamawiający od wykonawcy </w:t>
      </w:r>
      <w:r>
        <w:rPr>
          <w:rFonts w:cs="Tahoma" w:ascii="Tahoma" w:hAnsi="Tahoma"/>
          <w:sz w:val="21"/>
          <w:szCs w:val="21"/>
        </w:rPr>
        <w:t xml:space="preserve">(Dz. U. z 2020 r. poz. 2415; zwanym dalej "r.p.ś.d.") oraz przepisy rozporządzenia Prezesa Rady Ministrów z dnia 30 grudnia 2020 r. </w:t>
      </w:r>
      <w:r>
        <w:rPr>
          <w:rFonts w:cs="Tahoma" w:ascii="Tahoma" w:hAnsi="Tahoma"/>
          <w:i/>
          <w:iCs/>
          <w:sz w:val="21"/>
          <w:szCs w:val="21"/>
          <w:shd w:fill="FFFFFF" w:val="clear"/>
        </w:rPr>
        <w:t xml:space="preserve">w sprawie sposobu sporządzania i przekazywania informacji oraz wymagań technicznych dla dokumentów elektronicznych oraz środków komunikacji elektronicznej w postępowaniu o udzielenie zamówienia publicznego lub konkursie  </w:t>
      </w:r>
      <w:r>
        <w:rPr>
          <w:rFonts w:cs="Tahoma" w:ascii="Tahoma" w:hAnsi="Tahoma"/>
          <w:sz w:val="21"/>
          <w:szCs w:val="21"/>
          <w:shd w:fill="FFFFFF" w:val="clear"/>
        </w:rPr>
        <w:t>(Dz.U. z 2020 r. poz. 2452</w:t>
      </w:r>
      <w:r>
        <w:rPr>
          <w:rFonts w:cs="Tahoma" w:ascii="Tahoma" w:hAnsi="Tahoma"/>
          <w:sz w:val="21"/>
          <w:szCs w:val="21"/>
        </w:rPr>
        <w:t xml:space="preserve"> zwanym dalej "r.d.e."</w:t>
      </w:r>
      <w:r>
        <w:rPr>
          <w:rFonts w:cs="Tahoma" w:ascii="Tahoma" w:hAnsi="Tahoma"/>
          <w:sz w:val="21"/>
          <w:szCs w:val="21"/>
          <w:shd w:fill="FFFFFF" w:val="clear"/>
        </w:rPr>
        <w:t>)</w:t>
      </w:r>
    </w:p>
    <w:p>
      <w:pPr>
        <w:pStyle w:val="Normal"/>
        <w:spacing w:before="0" w:after="0"/>
        <w:ind w:right="0"/>
        <w:jc w:val="both"/>
        <w:rPr>
          <w:rFonts w:ascii="Tahoma" w:hAnsi="Tahoma" w:cs="Tahoma"/>
          <w:sz w:val="21"/>
          <w:szCs w:val="21"/>
        </w:rPr>
      </w:pPr>
      <w:r>
        <w:rPr>
          <w:rFonts w:cs="Tahoma" w:ascii="Tahoma" w:hAnsi="Tahoma"/>
          <w:sz w:val="21"/>
          <w:szCs w:val="21"/>
        </w:rPr>
      </w:r>
    </w:p>
    <w:p>
      <w:pPr>
        <w:pStyle w:val="Normal"/>
        <w:numPr>
          <w:ilvl w:val="0"/>
          <w:numId w:val="0"/>
        </w:numPr>
        <w:shd w:val="clear" w:fill="FFFFFF"/>
        <w:ind w:hanging="0" w:left="0" w:right="0"/>
        <w:jc w:val="both"/>
        <w:rPr>
          <w:rFonts w:ascii="Tahoma" w:hAnsi="Tahoma" w:cs="Tahoma"/>
          <w:b w:val="false"/>
          <w:bCs w:val="false"/>
          <w:sz w:val="21"/>
          <w:szCs w:val="21"/>
          <w:shd w:fill="FFFFFF" w:val="clear"/>
        </w:rPr>
      </w:pPr>
      <w:r>
        <w:rPr>
          <w:rFonts w:cs="Tahoma" w:ascii="Tahoma" w:hAnsi="Tahoma"/>
          <w:b/>
          <w:sz w:val="21"/>
          <w:szCs w:val="21"/>
        </w:rPr>
        <w:t>3. POLEGANIE NA ZASOBACH INNYCH PODMIOTÓW</w:t>
      </w:r>
    </w:p>
    <w:p>
      <w:pPr>
        <w:pStyle w:val="pkt"/>
        <w:numPr>
          <w:ilvl w:val="0"/>
          <w:numId w:val="0"/>
        </w:numPr>
        <w:spacing w:before="0" w:after="0"/>
        <w:ind w:hanging="0" w:left="0" w:right="0"/>
        <w:rPr>
          <w:rFonts w:ascii="Tahoma" w:hAnsi="Tahoma" w:cs="Tahoma"/>
          <w:sz w:val="21"/>
          <w:szCs w:val="21"/>
        </w:rPr>
      </w:pPr>
      <w:r>
        <w:rPr>
          <w:rFonts w:cs="Tahoma" w:ascii="Tahoma" w:hAnsi="Tahoma"/>
          <w:b w:val="false"/>
          <w:bCs w:val="false"/>
          <w:sz w:val="21"/>
          <w:szCs w:val="21"/>
          <w:shd w:fill="FFFFFF" w:val="clear"/>
        </w:rPr>
        <w:t>1</w:t>
      </w:r>
      <w:r>
        <w:rPr>
          <w:rFonts w:cs="Tahoma" w:ascii="Tahoma" w:hAnsi="Tahoma"/>
          <w:b/>
          <w:sz w:val="21"/>
          <w:szCs w:val="21"/>
          <w:shd w:fill="FFFFFF" w:val="clear"/>
        </w:rPr>
        <w:t xml:space="preserve">. </w:t>
      </w:r>
      <w:r>
        <w:rPr>
          <w:rFonts w:cs="Tahoma" w:ascii="Tahoma" w:hAnsi="Tahoma"/>
          <w:sz w:val="21"/>
          <w:szCs w:val="21"/>
          <w:shd w:fill="FFFFFF" w:val="clear"/>
        </w:rPr>
        <w:t xml:space="preserve">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w:t>
      </w:r>
      <w:r>
        <w:rPr>
          <w:rFonts w:cs="Tahoma" w:ascii="Tahoma" w:hAnsi="Tahoma"/>
          <w:sz w:val="21"/>
          <w:szCs w:val="21"/>
        </w:rPr>
        <w:t>prawnych</w:t>
      </w:r>
      <w:r>
        <w:rPr>
          <w:rFonts w:cs="Tahoma" w:ascii="Tahoma" w:hAnsi="Tahoma"/>
          <w:sz w:val="21"/>
          <w:szCs w:val="21"/>
          <w:shd w:fill="FFFFFF" w:val="clear"/>
        </w:rPr>
        <w:t>.</w:t>
      </w:r>
    </w:p>
    <w:p>
      <w:pPr>
        <w:pStyle w:val="pkt"/>
        <w:numPr>
          <w:ilvl w:val="0"/>
          <w:numId w:val="0"/>
        </w:numPr>
        <w:spacing w:before="0" w:after="0"/>
        <w:ind w:hanging="0" w:left="0" w:right="0"/>
        <w:rPr>
          <w:rFonts w:ascii="Tahoma" w:hAnsi="Tahoma" w:eastAsia="Tahoma" w:cs="Tahoma"/>
          <w:sz w:val="21"/>
          <w:szCs w:val="21"/>
        </w:rPr>
      </w:pPr>
      <w:r>
        <w:rPr>
          <w:rFonts w:cs="Tahoma" w:ascii="Tahoma" w:hAnsi="Tahoma"/>
          <w:sz w:val="21"/>
          <w:szCs w:val="21"/>
        </w:rPr>
        <w:t>2. Wymagania dotyczące polegania na zdolnościach lub sytuacjach innych podmiotów, o których mowa w</w:t>
      </w:r>
    </w:p>
    <w:p>
      <w:pPr>
        <w:pStyle w:val="pkt"/>
        <w:numPr>
          <w:ilvl w:val="0"/>
          <w:numId w:val="0"/>
        </w:numPr>
        <w:spacing w:before="0" w:after="0"/>
        <w:ind w:hanging="0" w:left="0" w:right="0"/>
        <w:rPr>
          <w:rFonts w:ascii="Tahoma" w:hAnsi="Tahoma" w:cs="Tahoma"/>
          <w:sz w:val="21"/>
          <w:szCs w:val="21"/>
        </w:rPr>
      </w:pPr>
      <w:r>
        <w:rPr>
          <w:rFonts w:eastAsia="Tahoma" w:cs="Tahoma" w:ascii="Tahoma" w:hAnsi="Tahoma"/>
          <w:sz w:val="21"/>
          <w:szCs w:val="21"/>
        </w:rPr>
        <w:t xml:space="preserve"> </w:t>
      </w:r>
      <w:r>
        <w:rPr>
          <w:rFonts w:cs="Tahoma" w:ascii="Tahoma" w:hAnsi="Tahoma"/>
          <w:sz w:val="21"/>
          <w:szCs w:val="21"/>
        </w:rPr>
        <w:t>pkt. 1.:</w:t>
      </w:r>
    </w:p>
    <w:p>
      <w:pPr>
        <w:pStyle w:val="Normal"/>
        <w:numPr>
          <w:ilvl w:val="0"/>
          <w:numId w:val="0"/>
        </w:numPr>
        <w:spacing w:before="0" w:after="0"/>
        <w:ind w:hanging="0" w:left="0" w:right="0"/>
        <w:contextualSpacing/>
        <w:jc w:val="both"/>
        <w:rPr>
          <w:rFonts w:ascii="Tahoma" w:hAnsi="Tahoma" w:cs="Tahoma"/>
          <w:sz w:val="21"/>
          <w:szCs w:val="21"/>
          <w:shd w:fill="FFFFFF" w:val="clear"/>
        </w:rPr>
      </w:pPr>
      <w:r>
        <w:rPr>
          <w:rFonts w:cs="Tahoma" w:ascii="Tahoma" w:hAnsi="Tahoma"/>
          <w:sz w:val="21"/>
          <w:szCs w:val="21"/>
        </w:rPr>
        <w:t>a)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 lub inny podmiotowy środek dowodowy potwierdzający tą okoliczność;</w:t>
      </w:r>
    </w:p>
    <w:p>
      <w:pPr>
        <w:pStyle w:val="Normal"/>
        <w:numPr>
          <w:ilvl w:val="0"/>
          <w:numId w:val="0"/>
        </w:numPr>
        <w:spacing w:before="0" w:after="0"/>
        <w:ind w:hanging="0" w:left="0" w:right="0"/>
        <w:contextualSpacing/>
        <w:jc w:val="both"/>
        <w:rPr>
          <w:rFonts w:ascii="Tahoma" w:hAnsi="Tahoma" w:cs="Tahoma"/>
          <w:sz w:val="21"/>
          <w:szCs w:val="21"/>
          <w:shd w:fill="FFFFFF" w:val="clear"/>
        </w:rPr>
      </w:pPr>
      <w:r>
        <w:rPr>
          <w:rFonts w:cs="Tahoma" w:ascii="Tahoma" w:hAnsi="Tahoma"/>
          <w:sz w:val="21"/>
          <w:szCs w:val="21"/>
          <w:shd w:fill="FFFFFF" w:val="clear"/>
        </w:rPr>
        <w:t>b) Zamawiający ocenia, czy udostępniane wykonawcy przez podmioty udostępniające zasoby zdolności techniczne lub zawodowe lub ich sytuacja finansowa lub ekonomiczna, pozwalają na wykazanie przez wykonawcę spełniania warunków udziału w postępowaniu, a także bada, czy nie zachodzą wobec tego podmiotu podstawy wykluczenia, które zostały przewidziane względem wykonawcy.</w:t>
      </w:r>
    </w:p>
    <w:p>
      <w:pPr>
        <w:pStyle w:val="Normal"/>
        <w:numPr>
          <w:ilvl w:val="0"/>
          <w:numId w:val="0"/>
        </w:numPr>
        <w:spacing w:before="0" w:after="0"/>
        <w:ind w:hanging="0" w:left="0" w:right="0"/>
        <w:contextualSpacing/>
        <w:jc w:val="both"/>
        <w:rPr>
          <w:rFonts w:ascii="Tahoma" w:hAnsi="Tahoma" w:cs="Tahoma"/>
          <w:sz w:val="21"/>
          <w:szCs w:val="21"/>
          <w:shd w:fill="FFFFFF" w:val="clear"/>
        </w:rPr>
      </w:pPr>
      <w:r>
        <w:rPr>
          <w:rFonts w:cs="Tahoma" w:ascii="Tahoma" w:hAnsi="Tahoma"/>
          <w:sz w:val="21"/>
          <w:szCs w:val="21"/>
          <w:shd w:fill="FFFFFF" w:val="clear"/>
        </w:rPr>
        <w:t>c) W odniesieniu do warunków dotyczących wykształcenia, kwalifikacji zawodowych lub doświadczenia wykonawcy mogą polegać na zdolnościach podmiotów udostępniających zasoby, jeśli podmioty te wykonają usługi, do realizacji których te zdolności są wymagane.</w:t>
      </w:r>
    </w:p>
    <w:p>
      <w:pPr>
        <w:pStyle w:val="Normal"/>
        <w:numPr>
          <w:ilvl w:val="0"/>
          <w:numId w:val="0"/>
        </w:numPr>
        <w:spacing w:before="0" w:after="0"/>
        <w:ind w:hanging="0" w:left="0" w:right="0"/>
        <w:contextualSpacing/>
        <w:jc w:val="both"/>
        <w:rPr>
          <w:rFonts w:ascii="Tahoma" w:hAnsi="Tahoma" w:cs="Tahoma"/>
          <w:sz w:val="21"/>
          <w:szCs w:val="21"/>
          <w:shd w:fill="FFFFFF" w:val="clear"/>
        </w:rPr>
      </w:pPr>
      <w:r>
        <w:rPr>
          <w:rFonts w:cs="Tahoma" w:ascii="Tahoma" w:hAnsi="Tahoma"/>
          <w:sz w:val="21"/>
          <w:szCs w:val="21"/>
          <w:shd w:fill="FFFFFF" w:val="clear"/>
        </w:rPr>
        <w:t>d)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pPr>
        <w:pStyle w:val="Normal"/>
        <w:numPr>
          <w:ilvl w:val="0"/>
          <w:numId w:val="0"/>
        </w:numPr>
        <w:spacing w:before="0" w:after="0"/>
        <w:ind w:hanging="0" w:left="0" w:right="0"/>
        <w:contextualSpacing/>
        <w:jc w:val="both"/>
        <w:rPr>
          <w:rFonts w:ascii="Tahoma" w:hAnsi="Tahoma" w:cs="Tahoma"/>
          <w:sz w:val="21"/>
          <w:szCs w:val="21"/>
        </w:rPr>
      </w:pPr>
      <w:r>
        <w:rPr>
          <w:rFonts w:cs="Tahoma" w:ascii="Tahoma" w:hAnsi="Tahoma"/>
          <w:sz w:val="21"/>
          <w:szCs w:val="21"/>
          <w:shd w:fill="FFFFFF" w:val="clear"/>
        </w:rPr>
        <w:t>e) Jeżeli zdolności techniczne lub zawodowe, sytuacja ekonomiczna lub finansowa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w:t>
      </w:r>
    </w:p>
    <w:p>
      <w:pPr>
        <w:pStyle w:val="pkt"/>
        <w:numPr>
          <w:ilvl w:val="0"/>
          <w:numId w:val="0"/>
        </w:numPr>
        <w:spacing w:before="0" w:after="0"/>
        <w:ind w:hanging="0" w:left="0" w:right="0"/>
        <w:jc w:val="both"/>
        <w:rPr>
          <w:rFonts w:ascii="Tahoma" w:hAnsi="Tahoma" w:cs="Tahoma"/>
          <w:i w:val="false"/>
          <w:iCs w:val="false"/>
          <w:sz w:val="21"/>
          <w:szCs w:val="21"/>
        </w:rPr>
      </w:pPr>
      <w:r>
        <w:rPr>
          <w:rFonts w:cs="Tahoma" w:ascii="Tahoma" w:hAnsi="Tahoma"/>
          <w:sz w:val="21"/>
          <w:szCs w:val="21"/>
        </w:rPr>
        <w:t>3. W celu oceny, czy Wykonawca polegając na zdolnościach lub sytuacji innych podmiotów na zasadach określonych w pkt.  2,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do wykluczenia oraz spełniania, w zakresie w jakim powołuje się na ich zasoby, warunków udziału w postępowaniu, Wykonawca:</w:t>
      </w:r>
    </w:p>
    <w:p>
      <w:pPr>
        <w:pStyle w:val="pkt"/>
        <w:spacing w:before="0" w:after="0"/>
        <w:ind w:hanging="567" w:left="567" w:right="0"/>
        <w:jc w:val="both"/>
        <w:rPr>
          <w:rFonts w:ascii="Tahoma" w:hAnsi="Tahoma" w:cs="Tahoma"/>
          <w:i w:val="false"/>
          <w:iCs w:val="false"/>
          <w:sz w:val="21"/>
          <w:szCs w:val="21"/>
        </w:rPr>
      </w:pPr>
      <w:r>
        <w:rPr>
          <w:rFonts w:cs="Tahoma" w:ascii="Tahoma" w:hAnsi="Tahoma"/>
          <w:i w:val="false"/>
          <w:iCs w:val="false"/>
          <w:sz w:val="21"/>
          <w:szCs w:val="21"/>
        </w:rPr>
        <w:t>-składa wraz z ofertą zobowiązanie innego podmiotu do udostępnienia niezbędnych zasobów Wykonawcy ;</w:t>
      </w:r>
    </w:p>
    <w:p>
      <w:pPr>
        <w:pStyle w:val="Teksttreci1"/>
        <w:widowControl/>
        <w:shd w:val="clear" w:fill="auto"/>
        <w:suppressAutoHyphens w:val="true"/>
        <w:overflowPunct w:val="false"/>
        <w:bidi w:val="0"/>
        <w:spacing w:lineRule="auto" w:line="240" w:before="0" w:after="160"/>
        <w:ind w:hanging="283" w:left="283" w:right="0"/>
        <w:jc w:val="both"/>
        <w:rPr>
          <w:rFonts w:ascii="Tahoma" w:hAnsi="Tahoma" w:cs="Tahoma"/>
          <w:b/>
          <w:sz w:val="21"/>
          <w:szCs w:val="21"/>
        </w:rPr>
      </w:pPr>
      <w:r>
        <w:rPr>
          <w:rFonts w:cs="Tahoma" w:ascii="Tahoma" w:hAnsi="Tahoma"/>
          <w:i w:val="false"/>
          <w:iCs w:val="false"/>
          <w:sz w:val="21"/>
          <w:szCs w:val="21"/>
        </w:rPr>
        <w:t xml:space="preserve">-składa wraz z ofertą </w:t>
      </w:r>
      <w:r>
        <w:rPr>
          <w:rFonts w:cs="Tahoma" w:ascii="Tahoma" w:hAnsi="Tahoma"/>
          <w:b/>
          <w:i w:val="false"/>
          <w:iCs w:val="false"/>
          <w:sz w:val="21"/>
          <w:szCs w:val="21"/>
        </w:rPr>
        <w:t>Jednolity Europejski Dokument Zamówienia (JEDZ)</w:t>
      </w:r>
      <w:r>
        <w:rPr>
          <w:rFonts w:cs="Tahoma" w:ascii="Tahoma" w:hAnsi="Tahoma"/>
          <w:i w:val="false"/>
          <w:iCs w:val="false"/>
          <w:sz w:val="21"/>
          <w:szCs w:val="21"/>
        </w:rPr>
        <w:t xml:space="preserve"> dotyczący tych podmiotów, w zakresie wskazanym w Części II Sekcji C  (Informacje na temat polegania na zdolności innych podmiotów)</w:t>
      </w:r>
    </w:p>
    <w:p>
      <w:pPr>
        <w:pStyle w:val="Normal"/>
        <w:numPr>
          <w:ilvl w:val="0"/>
          <w:numId w:val="0"/>
        </w:numPr>
        <w:shd w:val="clear" w:fill="FFFFFF"/>
        <w:ind w:hanging="0" w:left="0" w:right="0"/>
        <w:jc w:val="both"/>
        <w:rPr>
          <w:rFonts w:ascii="Tahoma" w:hAnsi="Tahoma" w:cs="Tahoma"/>
          <w:b w:val="false"/>
          <w:bCs w:val="false"/>
          <w:sz w:val="21"/>
          <w:szCs w:val="21"/>
        </w:rPr>
      </w:pPr>
      <w:r>
        <w:rPr>
          <w:rFonts w:cs="Tahoma" w:ascii="Tahoma" w:hAnsi="Tahoma"/>
          <w:b/>
          <w:sz w:val="21"/>
          <w:szCs w:val="21"/>
        </w:rPr>
        <w:t>4. INFORMACJA DLA WYKONAWCÓW WSPÓLNIE UBIEGAJĄCYCH SIĘ O UDZIELENIE ZAMÓWIENIA (SPÓŁKI CYWILNE/ KONSORCJA)</w:t>
      </w:r>
    </w:p>
    <w:p>
      <w:pPr>
        <w:pStyle w:val="pkt"/>
        <w:widowControl/>
        <w:numPr>
          <w:ilvl w:val="0"/>
          <w:numId w:val="0"/>
        </w:numPr>
        <w:suppressAutoHyphens w:val="true"/>
        <w:overflowPunct w:val="false"/>
        <w:bidi w:val="0"/>
        <w:spacing w:lineRule="auto" w:line="252" w:before="0" w:after="0"/>
        <w:ind w:hanging="0" w:left="0" w:right="0"/>
        <w:jc w:val="both"/>
        <w:rPr>
          <w:rFonts w:ascii="Tahoma" w:hAnsi="Tahoma" w:cs="Tahoma"/>
          <w:sz w:val="21"/>
          <w:szCs w:val="21"/>
        </w:rPr>
      </w:pPr>
      <w:r>
        <w:rPr>
          <w:rFonts w:cs="Tahoma" w:ascii="Tahoma" w:hAnsi="Tahoma"/>
          <w:b w:val="false"/>
          <w:bCs w:val="false"/>
          <w:sz w:val="21"/>
          <w:szCs w:val="21"/>
        </w:rPr>
        <w:t>1)</w:t>
      </w:r>
      <w:r>
        <w:rPr>
          <w:rFonts w:cs="Tahoma" w:ascii="Tahoma" w:hAnsi="Tahoma"/>
          <w:b/>
          <w:sz w:val="21"/>
          <w:szCs w:val="21"/>
        </w:rPr>
        <w:t xml:space="preserve"> </w:t>
      </w:r>
      <w:r>
        <w:rPr>
          <w:rFonts w:cs="Tahoma" w:ascii="Tahoma" w:hAnsi="Tahoma"/>
          <w:sz w:val="21"/>
          <w:szCs w:val="21"/>
        </w:rPr>
        <w:t>Wykonawcy mogą wspólnie ubiegać się o udzielenie zamówienia. W takim przypadku Wykonawcy ustanawiają pełnomocnika do reprezentowania ich w postępowaniu  albo do reprezentowania i zawarcia umowy w sprawie zamówienia publicznego. Pełnomocnictwo</w:t>
      </w:r>
      <w:r>
        <w:rPr>
          <w:rFonts w:cs="Tahoma" w:ascii="Tahoma" w:hAnsi="Tahoma"/>
          <w:b/>
          <w:sz w:val="21"/>
          <w:szCs w:val="21"/>
        </w:rPr>
        <w:t xml:space="preserve"> </w:t>
      </w:r>
      <w:r>
        <w:rPr>
          <w:rFonts w:cs="Tahoma" w:ascii="Tahoma" w:hAnsi="Tahoma"/>
          <w:sz w:val="21"/>
          <w:szCs w:val="21"/>
        </w:rPr>
        <w:t>winno być załączone do oferty w postaci elektronicznej.</w:t>
      </w:r>
    </w:p>
    <w:p>
      <w:pPr>
        <w:pStyle w:val="pkt"/>
        <w:widowControl/>
        <w:numPr>
          <w:ilvl w:val="0"/>
          <w:numId w:val="0"/>
        </w:numPr>
        <w:suppressAutoHyphens w:val="true"/>
        <w:overflowPunct w:val="false"/>
        <w:bidi w:val="0"/>
        <w:spacing w:lineRule="auto" w:line="252" w:before="0" w:after="0"/>
        <w:ind w:hanging="0" w:left="0" w:right="0"/>
        <w:jc w:val="both"/>
        <w:rPr>
          <w:rFonts w:ascii="Tahoma" w:hAnsi="Tahoma" w:cs="Tahoma"/>
          <w:sz w:val="21"/>
          <w:szCs w:val="21"/>
        </w:rPr>
      </w:pPr>
      <w:r>
        <w:rPr>
          <w:rFonts w:cs="Tahoma" w:ascii="Tahoma" w:hAnsi="Tahoma"/>
          <w:sz w:val="21"/>
          <w:szCs w:val="21"/>
        </w:rPr>
        <w:t>2) W przypadku Wykonawców wspólnie ubiegających się o udzielenie zamówienia, Jednolity Europejski Dokument Zamówienia (JEDZ) składa każdy z Wykonawców wspólnie ubiegających się o zamówienie. Oświadczenie te wstępnie potwierdza spełnianie warunków udziału w postępowaniu oraz brak podstaw do wykluczenia w zakresie, w którym każdy z Wykonawców wykazuje spełnianie warunków udziału w postępowaniu oraz brak podstaw do wykluczenia.</w:t>
      </w:r>
    </w:p>
    <w:p>
      <w:pPr>
        <w:pStyle w:val="pkt"/>
        <w:widowControl/>
        <w:numPr>
          <w:ilvl w:val="0"/>
          <w:numId w:val="0"/>
        </w:numPr>
        <w:suppressAutoHyphens w:val="true"/>
        <w:overflowPunct w:val="false"/>
        <w:bidi w:val="0"/>
        <w:spacing w:lineRule="auto" w:line="252" w:before="0" w:after="0"/>
        <w:ind w:hanging="0" w:left="0" w:right="0"/>
        <w:jc w:val="both"/>
        <w:rPr>
          <w:rFonts w:ascii="Tahoma" w:hAnsi="Tahoma" w:cs="Tahoma"/>
          <w:sz w:val="21"/>
          <w:szCs w:val="21"/>
          <w:shd w:fill="FFFFFF" w:val="clear"/>
        </w:rPr>
      </w:pPr>
      <w:r>
        <w:rPr>
          <w:rFonts w:cs="Tahoma" w:ascii="Tahoma" w:hAnsi="Tahoma"/>
          <w:sz w:val="21"/>
          <w:szCs w:val="21"/>
        </w:rPr>
        <w:t>3) Oświadczenia i dokumenty potwierdzające brak podstaw do wykluczenia z postępowania, w tym oświadczenie dotyczące przynależności lub braku przynależności do tej samej grupy kapitałowej, składa każdy z Wykonawców wspólnie ubiegających się o zamówienie.</w:t>
      </w:r>
    </w:p>
    <w:p>
      <w:pPr>
        <w:pStyle w:val="pkt"/>
        <w:widowControl/>
        <w:numPr>
          <w:ilvl w:val="0"/>
          <w:numId w:val="0"/>
        </w:numPr>
        <w:suppressAutoHyphens w:val="true"/>
        <w:overflowPunct w:val="false"/>
        <w:bidi w:val="0"/>
        <w:spacing w:lineRule="auto" w:line="252" w:before="0" w:after="0"/>
        <w:ind w:hanging="0" w:left="0" w:right="0"/>
        <w:jc w:val="both"/>
        <w:rPr>
          <w:rFonts w:ascii="Tahoma" w:hAnsi="Tahoma" w:cs="Tahoma"/>
          <w:b/>
          <w:sz w:val="21"/>
          <w:szCs w:val="21"/>
        </w:rPr>
      </w:pPr>
      <w:r>
        <w:rPr>
          <w:rFonts w:cs="Tahoma" w:ascii="Tahoma" w:hAnsi="Tahoma"/>
          <w:sz w:val="21"/>
          <w:szCs w:val="21"/>
          <w:shd w:fill="FFFFFF" w:val="clear"/>
        </w:rPr>
        <w:t xml:space="preserve">4) Wykonawcy wspólnie ubiegający się o udzielenie zamówienia wskazują w formularzu oferty, które usługi wykonają </w:t>
      </w:r>
      <w:r>
        <w:rPr>
          <w:rFonts w:cs="Tahoma" w:ascii="Tahoma" w:hAnsi="Tahoma"/>
          <w:sz w:val="21"/>
          <w:szCs w:val="21"/>
        </w:rPr>
        <w:t>poszczególni</w:t>
      </w:r>
      <w:r>
        <w:rPr>
          <w:rFonts w:cs="Tahoma" w:ascii="Tahoma" w:hAnsi="Tahoma"/>
          <w:sz w:val="21"/>
          <w:szCs w:val="21"/>
          <w:shd w:fill="FFFFFF" w:val="clear"/>
        </w:rPr>
        <w:t xml:space="preserve"> wykonawcy</w:t>
      </w:r>
    </w:p>
    <w:p>
      <w:pPr>
        <w:pStyle w:val="Normal"/>
        <w:numPr>
          <w:ilvl w:val="0"/>
          <w:numId w:val="0"/>
        </w:numPr>
        <w:shd w:val="clear" w:fill="FFFFFF"/>
        <w:spacing w:before="0" w:after="0"/>
        <w:ind w:hanging="0" w:left="0" w:right="0"/>
        <w:jc w:val="both"/>
        <w:rPr>
          <w:rFonts w:ascii="Tahoma" w:hAnsi="Tahoma" w:cs="Tahoma"/>
          <w:b w:val="false"/>
          <w:bCs w:val="false"/>
          <w:sz w:val="21"/>
          <w:szCs w:val="21"/>
        </w:rPr>
      </w:pPr>
      <w:r>
        <w:rPr>
          <w:rFonts w:cs="Tahoma" w:ascii="Tahoma" w:hAnsi="Tahoma"/>
          <w:b/>
          <w:sz w:val="21"/>
          <w:szCs w:val="21"/>
        </w:rPr>
        <w:t>5. PODWYKONAWSTWO</w:t>
      </w:r>
    </w:p>
    <w:p>
      <w:pPr>
        <w:pStyle w:val="pkt"/>
        <w:widowControl/>
        <w:numPr>
          <w:ilvl w:val="0"/>
          <w:numId w:val="0"/>
        </w:numPr>
        <w:suppressAutoHyphens w:val="true"/>
        <w:overflowPunct w:val="false"/>
        <w:bidi w:val="0"/>
        <w:spacing w:lineRule="auto" w:line="252" w:before="0" w:after="0"/>
        <w:ind w:hanging="0" w:left="0" w:right="0"/>
        <w:rPr>
          <w:rFonts w:ascii="Tahoma" w:hAnsi="Tahoma" w:cs="Tahoma"/>
          <w:sz w:val="21"/>
          <w:szCs w:val="21"/>
        </w:rPr>
      </w:pPr>
      <w:r>
        <w:rPr>
          <w:rFonts w:cs="Tahoma" w:ascii="Tahoma" w:hAnsi="Tahoma"/>
          <w:b w:val="false"/>
          <w:bCs w:val="false"/>
          <w:sz w:val="21"/>
          <w:szCs w:val="21"/>
        </w:rPr>
        <w:t xml:space="preserve">1) </w:t>
      </w:r>
      <w:r>
        <w:rPr>
          <w:rFonts w:cs="Tahoma" w:ascii="Tahoma" w:hAnsi="Tahoma"/>
          <w:sz w:val="21"/>
          <w:szCs w:val="21"/>
        </w:rPr>
        <w:t>Wykonawca może powierzyć wykonanie części zamówienia podwykonawcy (podwykonawcom)</w:t>
      </w:r>
    </w:p>
    <w:p>
      <w:pPr>
        <w:pStyle w:val="pkt"/>
        <w:widowControl/>
        <w:numPr>
          <w:ilvl w:val="0"/>
          <w:numId w:val="0"/>
        </w:numPr>
        <w:suppressAutoHyphens w:val="true"/>
        <w:overflowPunct w:val="false"/>
        <w:bidi w:val="0"/>
        <w:spacing w:lineRule="auto" w:line="252" w:before="0" w:after="0"/>
        <w:ind w:hanging="0" w:left="0" w:right="0"/>
        <w:rPr>
          <w:rFonts w:ascii="Tahoma" w:hAnsi="Tahoma" w:cs="Tahoma"/>
          <w:sz w:val="21"/>
          <w:szCs w:val="21"/>
        </w:rPr>
      </w:pPr>
      <w:r>
        <w:rPr>
          <w:rFonts w:cs="Tahoma" w:ascii="Tahoma" w:hAnsi="Tahoma"/>
          <w:sz w:val="21"/>
          <w:szCs w:val="21"/>
        </w:rPr>
        <w:t>2) Zamawiający nie zastrzega obowiązku osobistego wykonania przez Wykonawcę kluczowych części zamówienia</w:t>
      </w:r>
    </w:p>
    <w:p>
      <w:pPr>
        <w:pStyle w:val="pkt"/>
        <w:widowControl/>
        <w:numPr>
          <w:ilvl w:val="0"/>
          <w:numId w:val="0"/>
        </w:numPr>
        <w:suppressAutoHyphens w:val="true"/>
        <w:overflowPunct w:val="false"/>
        <w:bidi w:val="0"/>
        <w:spacing w:lineRule="auto" w:line="252" w:before="0" w:after="0"/>
        <w:ind w:hanging="0" w:left="0" w:right="0"/>
        <w:rPr>
          <w:rFonts w:ascii="Tahoma" w:hAnsi="Tahoma" w:cs="Tahoma"/>
          <w:sz w:val="21"/>
          <w:szCs w:val="21"/>
        </w:rPr>
      </w:pPr>
      <w:r>
        <w:rPr>
          <w:rFonts w:cs="Tahoma" w:ascii="Tahoma" w:hAnsi="Tahoma"/>
          <w:sz w:val="21"/>
          <w:szCs w:val="21"/>
        </w:rPr>
        <w:t xml:space="preserve">3) </w:t>
      </w:r>
      <w:r>
        <w:rPr>
          <w:rFonts w:cs="Tahoma" w:ascii="Tahoma" w:hAnsi="Tahoma"/>
          <w:b w:val="false"/>
          <w:bCs w:val="false"/>
          <w:sz w:val="21"/>
          <w:szCs w:val="21"/>
        </w:rPr>
        <w:t>Zamawiający wymaga, aby w przypadku powierzenia części zamówienia podwykonawcom, Wykonawca wskazał w ofercie części zamówienia, których wykonanie zamierza powierzyć podwykonawcom oraz podał (</w:t>
      </w:r>
      <w:r>
        <w:rPr>
          <w:rFonts w:cs="Tahoma" w:ascii="Tahoma" w:hAnsi="Tahoma"/>
          <w:b w:val="false"/>
          <w:bCs w:val="false"/>
          <w:sz w:val="21"/>
          <w:szCs w:val="21"/>
          <w:u w:val="single"/>
        </w:rPr>
        <w:t>o ile są mu wiadome na tym etapie</w:t>
      </w:r>
      <w:r>
        <w:rPr>
          <w:rFonts w:cs="Tahoma" w:ascii="Tahoma" w:hAnsi="Tahoma"/>
          <w:b w:val="false"/>
          <w:bCs w:val="false"/>
          <w:sz w:val="21"/>
          <w:szCs w:val="21"/>
        </w:rPr>
        <w:t>) nazwy (firmy) tych podwykonawców</w:t>
      </w:r>
    </w:p>
    <w:p>
      <w:pPr>
        <w:pStyle w:val="pkt"/>
        <w:widowControl/>
        <w:numPr>
          <w:ilvl w:val="0"/>
          <w:numId w:val="0"/>
        </w:numPr>
        <w:suppressAutoHyphens w:val="true"/>
        <w:overflowPunct w:val="false"/>
        <w:bidi w:val="0"/>
        <w:spacing w:lineRule="auto" w:line="252" w:before="0" w:after="0"/>
        <w:ind w:hanging="0" w:left="0" w:right="0"/>
        <w:rPr>
          <w:rFonts w:eastAsia="Calibri" w:cs="Tahoma"/>
          <w:b/>
          <w:bCs/>
          <w:color w:val="000000"/>
          <w:sz w:val="20"/>
          <w:szCs w:val="20"/>
          <w:lang w:val="pl-PL" w:bidi="ar-SA"/>
        </w:rPr>
      </w:pPr>
      <w:r>
        <w:rPr>
          <w:rFonts w:cs="Tahoma" w:ascii="Tahoma" w:hAnsi="Tahoma"/>
          <w:sz w:val="21"/>
          <w:szCs w:val="21"/>
        </w:rPr>
        <w:t>4) Powierzenie części zamówienia podwykonawcom nie zwalnia Wykonawcy  z odpowiedzialności za należyte wykonanie zamówienia.</w:t>
      </w:r>
    </w:p>
    <w:tbl>
      <w:tblPr>
        <w:tblW w:w="9870" w:type="dxa"/>
        <w:jc w:val="left"/>
        <w:tblInd w:w="55" w:type="dxa"/>
        <w:tblLayout w:type="fixed"/>
        <w:tblCellMar>
          <w:top w:w="55" w:type="dxa"/>
          <w:left w:w="55" w:type="dxa"/>
          <w:bottom w:w="55" w:type="dxa"/>
          <w:right w:w="55" w:type="dxa"/>
        </w:tblCellMar>
      </w:tblPr>
      <w:tblGrid>
        <w:gridCol w:w="9870"/>
      </w:tblGrid>
      <w:tr>
        <w:trPr/>
        <w:tc>
          <w:tcPr>
            <w:tcW w:w="9870"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VIII. PROJEKTOWANE POSTANOWIENIA UMOWY W SPRAWIE ZAMÓWIENIA PUBLICZNEGO, KTÓRE ZOSTANĄ WPROWADZONE DO TREŚCI TEJ UMOWY</w:t>
            </w:r>
          </w:p>
        </w:tc>
      </w:tr>
    </w:tbl>
    <w:p>
      <w:pPr>
        <w:pStyle w:val="Tekstpodstawowy2"/>
        <w:widowControl w:val="false"/>
        <w:spacing w:lineRule="atLeast" w:line="10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bidi="ar-SA"/>
        </w:rPr>
        <w:t>Projektowane postanowienia umowy w sprawie zamówienia publicznego, które zostaną wprowadzone do treści tej umowy, określone zostały w</w:t>
      </w:r>
      <w:r>
        <w:rPr>
          <w:rFonts w:eastAsia="Calibri" w:cs="Tahoma"/>
          <w:b/>
          <w:bCs/>
          <w:color w:val="000000"/>
          <w:sz w:val="21"/>
          <w:szCs w:val="21"/>
          <w:lang w:val="pl-PL" w:bidi="ar-SA"/>
        </w:rPr>
        <w:t xml:space="preserve"> Załącznikach nr 5-5A  do SWZ.</w:t>
      </w:r>
    </w:p>
    <w:tbl>
      <w:tblPr>
        <w:tblW w:w="9870" w:type="dxa"/>
        <w:jc w:val="left"/>
        <w:tblInd w:w="55" w:type="dxa"/>
        <w:tblLayout w:type="fixed"/>
        <w:tblCellMar>
          <w:top w:w="55" w:type="dxa"/>
          <w:left w:w="55" w:type="dxa"/>
          <w:bottom w:w="55" w:type="dxa"/>
          <w:right w:w="55" w:type="dxa"/>
        </w:tblCellMar>
      </w:tblPr>
      <w:tblGrid>
        <w:gridCol w:w="9870"/>
      </w:tblGrid>
      <w:tr>
        <w:trPr/>
        <w:tc>
          <w:tcPr>
            <w:tcW w:w="9870"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IX.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pPr>
        <w:pStyle w:val="Tekstpodstawowy2"/>
        <w:widowControl w:val="false"/>
        <w:spacing w:lineRule="atLeast" w:line="100" w:before="0" w:after="0"/>
        <w:ind w:right="30"/>
        <w:jc w:val="both"/>
        <w:rPr>
          <w:rFonts w:ascii="Tahoma" w:hAnsi="Tahoma" w:eastAsia="Calibri" w:cs="Tahoma"/>
          <w:b w:val="false"/>
          <w:bCs w:val="false"/>
          <w:color w:val="000000"/>
          <w:sz w:val="21"/>
          <w:szCs w:val="21"/>
          <w:shd w:fill="FFFFFF" w:val="clear"/>
        </w:rPr>
      </w:pPr>
      <w:r>
        <w:rPr>
          <w:rFonts w:eastAsia="Calibri" w:cs="Tahoma"/>
          <w:b w:val="false"/>
          <w:bCs w:val="false"/>
          <w:color w:val="000000"/>
          <w:sz w:val="21"/>
          <w:szCs w:val="21"/>
        </w:rPr>
        <w:t xml:space="preserve">1. W postępowaniu o udzielenie zamówienia komunikacja między Zamawiającym, a Wykonawcami </w:t>
      </w:r>
      <w:r>
        <w:rPr>
          <w:rFonts w:eastAsia="Calibri" w:cs="Tahoma"/>
          <w:b w:val="false"/>
          <w:bCs w:val="false"/>
          <w:color w:val="000000"/>
          <w:sz w:val="21"/>
          <w:szCs w:val="21"/>
          <w:shd w:fill="FFFFFF" w:val="clear"/>
        </w:rPr>
        <w:t xml:space="preserve">odbywa się przy użyciu Platformy e-Zamówienia (dalej Platforma), która jest dostępna pod adresem </w:t>
      </w:r>
      <w:hyperlink r:id="rId6">
        <w:r>
          <w:rPr>
            <w:rStyle w:val="Hyperlink"/>
            <w:rFonts w:eastAsia="Calibri" w:cs="Tahoma"/>
            <w:b w:val="false"/>
            <w:bCs w:val="false"/>
            <w:color w:val="000000"/>
            <w:sz w:val="21"/>
            <w:szCs w:val="21"/>
            <w:shd w:fill="FFFFFF" w:val="clear"/>
          </w:rPr>
          <w:t>https://ezamowienia.gov.pl/pl/</w:t>
        </w:r>
      </w:hyperlink>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rPr>
        <w:t>2. Korzystanie z Platformy jest bezpłatne.</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rPr>
        <w:t>3.Adres strony internetowej prowadzonego postępowania:</w:t>
      </w:r>
      <w:r>
        <w:rPr>
          <w:rFonts w:cs="Tahoma"/>
          <w:color w:val="000000"/>
          <w:sz w:val="21"/>
          <w:szCs w:val="21"/>
          <w:shd w:fill="FFFFFF" w:val="clear"/>
        </w:rPr>
        <w:t xml:space="preserve">. </w:t>
      </w:r>
      <w:r>
        <w:rPr>
          <w:rFonts w:eastAsia="Calibri" w:cs="Tahoma"/>
          <w:b w:val="false"/>
          <w:bCs w:val="false"/>
          <w:color w:val="000000"/>
          <w:sz w:val="21"/>
          <w:szCs w:val="21"/>
          <w:shd w:fill="FFFFFF" w:val="clear"/>
        </w:rPr>
        <w:t>https://ezamowienia.gov.pl/mp-client/tenders/ocds-148610-34b1b9bc-c215-4844-aa86-cc90052d7e99</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rPr>
        <w:t>4. Postępowanie można wyszukać również ze strony głównej Platformy (przycisk „Przeglądaj postępowania/konkursy”).</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rPr>
        <w:t>5. Identyfikator (ID) postępowania na Platformie:ocds-148610-34b1b9bc-c215-4844-aa86-cc90052d7e99</w:t>
      </w:r>
    </w:p>
    <w:p>
      <w:pPr>
        <w:pStyle w:val="Tekstpodstawowy2"/>
        <w:widowControl w:val="false"/>
        <w:spacing w:lineRule="atLeast" w:line="100" w:before="0" w:after="46"/>
        <w:ind w:right="30"/>
        <w:jc w:val="both"/>
        <w:rPr>
          <w:highlight w:val="none"/>
          <w:shd w:fill="FFFFFF" w:val="clear"/>
        </w:rPr>
      </w:pPr>
      <w:r>
        <w:rPr>
          <w:rFonts w:eastAsia="Calibri" w:cs="Tahoma"/>
          <w:b w:val="false"/>
          <w:bCs w:val="false"/>
          <w:color w:val="000000"/>
          <w:sz w:val="21"/>
          <w:szCs w:val="21"/>
          <w:shd w:fill="FFFFFF" w:val="clear"/>
        </w:rPr>
        <w:t>6. Wykonawca zamierzający wziąć udział w postępowaniu o udzielenie zamówienia publicznego, musi posiadać konto typu „Wykonawca” na Platformie. Szczegółowe informacje na temat zakładania kont podmiotów oraz zasady i warunki korzystania z Platformy dostępne są na stronie internetowej: https://ezamowienia.gov.pl/pl/regulamin/#regulamin-serwisu oraz w zakładce „Centrum pomocy”</w:t>
      </w:r>
    </w:p>
    <w:p>
      <w:pPr>
        <w:pStyle w:val="Tekstpodstawowy2"/>
        <w:widowControl w:val="false"/>
        <w:spacing w:lineRule="atLeast" w:line="100" w:before="0" w:after="0"/>
        <w:ind w:right="30"/>
        <w:jc w:val="both"/>
        <w:rPr/>
      </w:pPr>
      <w:hyperlink r:id="rId7">
        <w:r>
          <w:rPr>
            <w:rStyle w:val="Hyperlink"/>
            <w:rFonts w:eastAsia="Calibri" w:cs="Tahoma"/>
            <w:b w:val="false"/>
            <w:bCs w:val="false"/>
            <w:color w:val="000000"/>
            <w:sz w:val="21"/>
            <w:szCs w:val="21"/>
            <w:shd w:fill="FFFFFF" w:val="clear"/>
          </w:rPr>
          <w:t>https://ezamowienia.gov.pl/pl/komponent-edukacyjny/</w:t>
        </w:r>
      </w:hyperlink>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shd w:fill="FFFFFF" w:val="clear"/>
        </w:rPr>
        <w:t>7. Przeglądanie i pobieranie treści dokumentacji postępowania nie wymaga posiadania konta na Platformie. 8. Sposób sporządzenia dokumentów elektronicznych lub dokumentów elektronicznych będących kopią elektroniczną treści zapisanej w postaci papierowej (cyfrowe odwzorowania) musi być zgodny z wy</w:t>
      </w:r>
      <w:r>
        <w:rPr>
          <w:rFonts w:eastAsia="Calibri" w:cs="Tahoma"/>
          <w:b w:val="false"/>
          <w:bCs w:val="false"/>
          <w:color w:val="000000"/>
          <w:sz w:val="21"/>
          <w:szCs w:val="21"/>
        </w:rPr>
        <w:t>maganiami określonymi w rozporządzeniu Prezesa Rady Ministrów w sprawie wymagań dla dokumentów elektronicznych.</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9. Dokumenty elektroniczne ,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Pzp, ww. regulacje nie będą miały bezpośredniego zastosowania.</w:t>
      </w:r>
    </w:p>
    <w:p>
      <w:pPr>
        <w:pStyle w:val="Tekstpodstawowy2"/>
        <w:widowControl w:val="false"/>
        <w:spacing w:lineRule="atLeast" w:line="100" w:before="0" w:after="0"/>
        <w:ind w:right="30"/>
        <w:jc w:val="both"/>
        <w:rPr>
          <w:rFonts w:ascii="Tahoma" w:hAnsi="Tahoma" w:eastAsia="Tahoma" w:cs="Tahoma"/>
          <w:b w:val="false"/>
          <w:bCs w:val="false"/>
          <w:color w:val="000000"/>
          <w:sz w:val="21"/>
          <w:szCs w:val="21"/>
        </w:rPr>
      </w:pPr>
      <w:r>
        <w:rPr>
          <w:rFonts w:eastAsia="Calibri" w:cs="Tahoma"/>
          <w:b w:val="false"/>
          <w:bCs w:val="false"/>
          <w:color w:val="000000"/>
          <w:sz w:val="21"/>
          <w:szCs w:val="21"/>
        </w:rPr>
        <w:t>10. Informacje, oświadczenia lub dokumenty , inne niż wymienione w § 2 ust. 1 rozporządzenia Prezesa Rady Ministrów w sprawie wymagań dla dokumentów elektronicznych, przekazywane w postępowaniu sporządza się w postaci elektronicznej:</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Tahoma" w:cs="Tahoma"/>
          <w:b w:val="false"/>
          <w:bCs w:val="false"/>
          <w:color w:val="000000"/>
          <w:sz w:val="21"/>
          <w:szCs w:val="21"/>
        </w:rPr>
        <w:t xml:space="preserve"> </w:t>
      </w:r>
      <w:r>
        <w:rPr>
          <w:rFonts w:eastAsia="Calibri" w:cs="Tahoma"/>
          <w:b w:val="false"/>
          <w:bCs w:val="false"/>
          <w:color w:val="000000"/>
          <w:sz w:val="21"/>
          <w:szCs w:val="21"/>
        </w:rPr>
        <w:t>a. w formatach danych określonych w przepisach rozporządzenia Rady Ministrów w sprawie Krajowych Ram Interoperacyjności (i przekazuje się jako załącznik), lub</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b. jako tekst wpisany bezpośrednio do wiadomości przekazywanej przy użyciu środków komunikacji elektronicznej (np. w treści wiadomości e-mail lub w treści „Formularza do komunikacji”).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11. 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12.Komunikacja w postępowaniu, z </w:t>
      </w:r>
      <w:r>
        <w:rPr>
          <w:rFonts w:eastAsia="Calibri" w:cs="Tahoma"/>
          <w:b w:val="false"/>
          <w:bCs w:val="false"/>
          <w:color w:val="000000"/>
          <w:sz w:val="21"/>
          <w:szCs w:val="21"/>
          <w:u w:val="single"/>
        </w:rPr>
        <w:t>wyłączeniem składania ofert,</w:t>
      </w:r>
      <w:r>
        <w:rPr>
          <w:rFonts w:eastAsia="Calibri" w:cs="Tahoma"/>
          <w:b w:val="false"/>
          <w:bCs w:val="false"/>
          <w:color w:val="000000"/>
          <w:sz w:val="21"/>
          <w:szCs w:val="21"/>
        </w:rPr>
        <w:t xml:space="preserve"> odbywa się drogą elektroniczną za pośrednictwem formularzy do komunikacji dostępnych w zakładce „Formularze” („Formularze do komunikacji”). Za pośrednictwem formularzy odbywa się przekazywanie wezwań i zawiadomień, zadawanie pytań i udzielanie odpowiedzi. </w:t>
      </w:r>
      <w:r>
        <w:rPr>
          <w:rFonts w:cs="Tahoma"/>
          <w:color w:val="000000"/>
          <w:sz w:val="21"/>
          <w:szCs w:val="21"/>
        </w:rPr>
        <w:t xml:space="preserve">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13. Możliwość wykorzystywania w postępowaniu „Formularzy do komunikacji” w pełnym zakresie wymaga posiadania konta na Platformie oraz zalogowania. Do korzystania z formularzy w celu zadawania pytań dotyczących treści dokumentów zamówienia, wystarczy posiadanie konta uproszczonego.</w:t>
      </w:r>
    </w:p>
    <w:p>
      <w:pPr>
        <w:pStyle w:val="Tekstpodstawowy2"/>
        <w:widowControl w:val="false"/>
        <w:spacing w:lineRule="atLeast" w:line="100" w:before="0" w:after="46"/>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14. Wszystkie wysłane i odebrane wiadomości widoczne są po zalogowaniu na konto, w podglądzie postępowania, w zakładce „Komunikacja”.</w:t>
      </w:r>
    </w:p>
    <w:p>
      <w:pPr>
        <w:pStyle w:val="Tekstpodstawowy2"/>
        <w:widowControl w:val="false"/>
        <w:spacing w:lineRule="atLeast" w:line="100" w:before="0" w:after="46"/>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15. Maksymalny rozmiar plików przesyłanych za pośrednictwem dedykowanych formularzy wynosi 150 MB </w:t>
      </w:r>
      <w:r>
        <w:rPr>
          <w:rFonts w:cs="Tahoma"/>
          <w:color w:val="000000"/>
          <w:sz w:val="21"/>
          <w:szCs w:val="21"/>
        </w:rPr>
        <w:t>(wielkość ta dotyczy plików przesyłanych jako załączniki do jednego formularza)</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16. Wymagania techniczne dotyczące sprzętu używanego w celu korzystania z usług Platformy e-Zamówienia oraz informacje dotyczące specyfikacji połączenia określa </w:t>
      </w:r>
      <w:r>
        <w:rPr>
          <w:rFonts w:eastAsia="Calibri" w:cs="Tahoma"/>
          <w:b w:val="false"/>
          <w:bCs w:val="false"/>
          <w:color w:val="000000"/>
          <w:sz w:val="21"/>
          <w:szCs w:val="21"/>
          <w:u w:val="single"/>
        </w:rPr>
        <w:t xml:space="preserve">Regulamin Platformy e-Zamówienia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17. W przypadku problemów technicznych i awarii związanych z funkcjonowaniem Platformy, użytkownicy mogą skorzystać ze wsparcia technicznego dostępnego pod numerem telefonu (32) 77 88 999 lub drogą elektroniczną poprzez formularz udostępniony na Platformie w zakładce „Zgłoś problem” https://ezamowienia.gov.pl/soz/latest-faq.</w:t>
      </w:r>
    </w:p>
    <w:p>
      <w:pPr>
        <w:pStyle w:val="Tekstpodstawowy2"/>
        <w:widowControl w:val="false"/>
        <w:spacing w:lineRule="atLeast" w:line="100" w:before="0" w:after="0"/>
        <w:ind w:right="30"/>
        <w:jc w:val="both"/>
        <w:rPr>
          <w:rStyle w:val="Hyperlink"/>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rPr>
        <w:t>18</w:t>
      </w:r>
      <w:r>
        <w:rPr>
          <w:rStyle w:val="Hyperlink"/>
          <w:rFonts w:eastAsia="Calibri" w:cs="Tahoma"/>
          <w:b w:val="false"/>
          <w:bCs w:val="false"/>
          <w:iCs/>
          <w:color w:val="000000"/>
          <w:kern w:val="2"/>
          <w:sz w:val="21"/>
          <w:szCs w:val="21"/>
          <w:lang w:val="zxx" w:eastAsia="zxx" w:bidi="zxx"/>
        </w:rPr>
        <w:t xml:space="preserve">.Zamawiający dopuszcza komunikację za pomocą patformy e-Zamówienia „Formularze do komunikacji” oraz poczty elektronicznej Zamawiajacego: email: </w:t>
      </w:r>
      <w:hyperlink r:id="rId8">
        <w:r>
          <w:rPr>
            <w:rStyle w:val="Hyperlink"/>
            <w:rFonts w:eastAsia="Calibri" w:cs="Tahoma"/>
            <w:b w:val="false"/>
            <w:bCs w:val="false"/>
            <w:iCs/>
            <w:color w:val="000000"/>
            <w:kern w:val="2"/>
            <w:sz w:val="21"/>
            <w:szCs w:val="21"/>
            <w:lang w:val="zxx" w:eastAsia="zxx" w:bidi="zxx"/>
          </w:rPr>
          <w:t>zaopatrzenie@szpital-srem.pl</w:t>
        </w:r>
      </w:hyperlink>
      <w:r>
        <w:rPr>
          <w:rStyle w:val="Hyperlink"/>
          <w:rFonts w:eastAsia="Calibri" w:cs="Tahoma"/>
          <w:b w:val="false"/>
          <w:bCs w:val="false"/>
          <w:iCs/>
          <w:color w:val="000000"/>
          <w:kern w:val="2"/>
          <w:sz w:val="21"/>
          <w:szCs w:val="21"/>
          <w:lang w:val="zxx" w:eastAsia="zxx" w:bidi="zxx"/>
        </w:rPr>
        <w:t xml:space="preserve">  </w:t>
      </w:r>
      <w:r>
        <w:rPr>
          <w:rStyle w:val="Hyperlink"/>
          <w:rFonts w:eastAsia="Calibri" w:cs="Tahoma"/>
          <w:b/>
          <w:bCs/>
          <w:iCs/>
          <w:color w:val="000000"/>
          <w:kern w:val="2"/>
          <w:sz w:val="21"/>
          <w:szCs w:val="21"/>
          <w:lang w:val="zxx" w:eastAsia="zxx" w:bidi="zxx"/>
        </w:rPr>
        <w:t xml:space="preserve"> ( nie dotyczy składania ofert !)</w:t>
      </w:r>
    </w:p>
    <w:p>
      <w:pPr>
        <w:pStyle w:val="Tekstpodstawowy2"/>
        <w:widowControl w:val="false"/>
        <w:spacing w:lineRule="atLeast" w:line="100"/>
        <w:ind w:right="30"/>
        <w:jc w:val="both"/>
        <w:rPr>
          <w:rFonts w:eastAsia="Calibri" w:cs="Tahoma"/>
          <w:b/>
          <w:bCs/>
          <w:color w:val="000000"/>
          <w:sz w:val="20"/>
          <w:szCs w:val="20"/>
          <w:lang w:val="pl-PL" w:bidi="ar-SA"/>
        </w:rPr>
      </w:pPr>
      <w:r>
        <w:rPr>
          <w:rStyle w:val="Hyperlink"/>
          <w:rFonts w:eastAsia="Calibri" w:cs="Tahoma"/>
          <w:b w:val="false"/>
          <w:bCs w:val="false"/>
          <w:color w:val="000000"/>
          <w:sz w:val="21"/>
          <w:szCs w:val="21"/>
          <w:lang w:val="pl-PL" w:bidi="ar-SA"/>
        </w:rPr>
        <w:t xml:space="preserve">19. Zamawiający nie przewiduje sposobu komunikowania się z Wykonawcami w inny sposób niż przy użyciu środków komunikacji elektronicznej, wskazanych w SWZ </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 WSKAZANIE OSÓB UPRAWNIONYCH DO KOMUNIKOWANIA SIE Z WYKONAWCAMI</w:t>
            </w:r>
          </w:p>
        </w:tc>
      </w:tr>
    </w:tbl>
    <w:p>
      <w:pPr>
        <w:pStyle w:val="Tekstpodstawowy2"/>
        <w:widowControl w:val="false"/>
        <w:spacing w:lineRule="auto" w:line="240"/>
        <w:ind w:right="30"/>
        <w:jc w:val="both"/>
        <w:rPr>
          <w:rFonts w:ascii="Tahoma" w:hAnsi="Tahoma"/>
          <w:sz w:val="21"/>
          <w:szCs w:val="21"/>
          <w:highlight w:val="none"/>
          <w:shd w:fill="FFFFFF" w:val="clear"/>
        </w:rPr>
      </w:pPr>
      <w:r>
        <w:rPr>
          <w:rFonts w:eastAsia="Calibri" w:cs="Tahoma"/>
          <w:b w:val="false"/>
          <w:bCs w:val="false"/>
          <w:color w:val="000000"/>
          <w:sz w:val="21"/>
          <w:szCs w:val="21"/>
          <w:shd w:fill="FFFFFF" w:val="clear"/>
          <w:lang w:val="pl-PL" w:bidi="ar-SA"/>
        </w:rPr>
        <w:t xml:space="preserve">1 Zamawiający wyznacza następujące osoby do kontaktu z Wykonawcami: </w:t>
      </w:r>
    </w:p>
    <w:p>
      <w:pPr>
        <w:pStyle w:val="Normal"/>
        <w:spacing w:lineRule="auto" w:line="240"/>
        <w:jc w:val="both"/>
        <w:rPr>
          <w:rFonts w:ascii="Tahoma" w:hAnsi="Tahoma"/>
          <w:sz w:val="21"/>
          <w:szCs w:val="21"/>
          <w:highlight w:val="none"/>
          <w:shd w:fill="FFFFFF" w:val="clear"/>
        </w:rPr>
      </w:pPr>
      <w:r>
        <w:rPr>
          <w:rFonts w:cs="Tahoma" w:ascii="Tahoma" w:hAnsi="Tahoma"/>
          <w:sz w:val="21"/>
          <w:szCs w:val="21"/>
          <w:shd w:fill="FFFFFF" w:val="clear"/>
          <w:lang w:val="pl-PL" w:bidi="ar-SA"/>
        </w:rPr>
        <w:t xml:space="preserve">1) w sprawie procedury postępowania –      </w:t>
      </w:r>
      <w:r>
        <w:rPr>
          <w:rFonts w:eastAsia="Calibri" w:cs="Tahoma" w:ascii="Tahoma" w:hAnsi="Tahoma"/>
          <w:color w:val="auto"/>
          <w:sz w:val="21"/>
          <w:szCs w:val="21"/>
          <w:shd w:fill="FFFFFF" w:val="clear"/>
          <w:lang w:val="pl-PL" w:bidi="ar-SA"/>
        </w:rPr>
        <w:t>Kubiak Agnieszka</w:t>
      </w:r>
      <w:r>
        <w:rPr>
          <w:rFonts w:cs="Tahoma" w:ascii="Tahoma" w:hAnsi="Tahoma"/>
          <w:sz w:val="21"/>
          <w:szCs w:val="21"/>
          <w:shd w:fill="FFFFFF" w:val="clear"/>
          <w:lang w:val="pl-PL" w:bidi="ar-SA"/>
        </w:rPr>
        <w:t xml:space="preserve">             tel.  61 281 54 62 / 502 229 692              </w:t>
      </w:r>
    </w:p>
    <w:p>
      <w:pPr>
        <w:pStyle w:val="Normal"/>
        <w:widowControl w:val="false"/>
        <w:spacing w:lineRule="auto" w:line="240"/>
        <w:ind w:right="30"/>
        <w:jc w:val="both"/>
        <w:rPr>
          <w:rFonts w:ascii="Tahoma" w:hAnsi="Tahoma"/>
          <w:sz w:val="21"/>
          <w:szCs w:val="21"/>
          <w:highlight w:val="none"/>
          <w:shd w:fill="FFFFFF" w:val="clear"/>
        </w:rPr>
      </w:pPr>
      <w:r>
        <w:rPr>
          <w:rFonts w:eastAsia="Calibri" w:cs="Tahoma" w:ascii="Tahoma" w:hAnsi="Tahoma"/>
          <w:b w:val="false"/>
          <w:bCs w:val="false"/>
          <w:color w:val="000000"/>
          <w:sz w:val="21"/>
          <w:szCs w:val="21"/>
          <w:shd w:fill="FFFFFF" w:val="clear"/>
          <w:lang w:val="pl-PL" w:bidi="ar-SA"/>
        </w:rPr>
        <w:t>2) w sprawie przedmiotu zamówienia  –    Dział IT</w:t>
      </w:r>
      <w:r>
        <w:rPr>
          <w:rFonts w:eastAsia="Tahoma" w:cs="Tahoma" w:ascii="Tahoma" w:hAnsi="Tahoma"/>
          <w:b w:val="false"/>
          <w:bCs w:val="false"/>
          <w:color w:val="000000"/>
          <w:sz w:val="21"/>
          <w:szCs w:val="21"/>
          <w:shd w:fill="FFFFFF" w:val="clear"/>
          <w:lang w:val="pl-PL" w:bidi="ar-SA"/>
        </w:rPr>
        <w:t xml:space="preserve"> Maciej Ciesiółka      </w:t>
      </w:r>
      <w:r>
        <w:rPr>
          <w:rFonts w:eastAsia="Calibri" w:cs="Tahoma" w:ascii="Tahoma" w:hAnsi="Tahoma"/>
          <w:b w:val="false"/>
          <w:bCs w:val="false"/>
          <w:color w:val="000000"/>
          <w:sz w:val="21"/>
          <w:szCs w:val="21"/>
          <w:shd w:fill="FFFFFF" w:val="clear"/>
          <w:lang w:val="pl-PL" w:bidi="ar-SA"/>
        </w:rPr>
        <w:t xml:space="preserve">                     tel. 61 281 54 96</w:t>
      </w:r>
    </w:p>
    <w:p>
      <w:pPr>
        <w:pStyle w:val="Normal"/>
        <w:widowControl w:val="false"/>
        <w:spacing w:lineRule="auto" w:line="240" w:before="0" w:after="0"/>
        <w:ind w:right="30"/>
        <w:jc w:val="both"/>
        <w:rPr>
          <w:rFonts w:ascii="Tahoma" w:hAnsi="Tahoma"/>
          <w:sz w:val="21"/>
          <w:szCs w:val="21"/>
          <w:highlight w:val="none"/>
          <w:shd w:fill="FFFFFF" w:val="clear"/>
        </w:rPr>
      </w:pPr>
      <w:r>
        <w:rPr>
          <w:rFonts w:eastAsia="Calibri" w:cs="Tahoma" w:ascii="Tahoma" w:hAnsi="Tahoma"/>
          <w:b w:val="false"/>
          <w:bCs w:val="false"/>
          <w:color w:val="000000"/>
          <w:sz w:val="21"/>
          <w:szCs w:val="21"/>
          <w:shd w:fill="FFFFFF" w:val="clear"/>
          <w:lang w:val="pl-PL" w:bidi="ar-SA"/>
        </w:rPr>
        <w:t>2. Wykonawca może zwrócić się do zamawiającego o wyjaśnienia dotyczące wszelkich wątpliwości związanych z treścią specyfikacji  warunków zamówienia, kierując swoje zapytania na piśmie,  poprzez platformę e-zamówienia (komunikacja),  Zamawiający niezwłocznie udzieli wyjaśnień, nie później jednak niż</w:t>
      </w:r>
      <w:r>
        <w:rPr>
          <w:rFonts w:eastAsia="Calibri" w:cs="Tahoma" w:ascii="Tahoma" w:hAnsi="Tahoma"/>
          <w:b/>
          <w:bCs/>
          <w:color w:val="000000"/>
          <w:sz w:val="21"/>
          <w:szCs w:val="21"/>
          <w:shd w:fill="FFFFFF" w:val="clear"/>
          <w:lang w:val="pl-PL" w:bidi="ar-SA"/>
        </w:rPr>
        <w:t xml:space="preserve"> 4  dni</w:t>
      </w:r>
      <w:r>
        <w:rPr>
          <w:rFonts w:eastAsia="Calibri" w:cs="Tahoma" w:ascii="Tahoma" w:hAnsi="Tahoma"/>
          <w:b w:val="false"/>
          <w:bCs w:val="false"/>
          <w:color w:val="000000"/>
          <w:sz w:val="21"/>
          <w:szCs w:val="21"/>
          <w:shd w:fill="FFFFFF" w:val="clear"/>
          <w:lang w:val="pl-PL" w:bidi="ar-SA"/>
        </w:rPr>
        <w:t xml:space="preserve"> przed upływem terminu składania ofert. Treść zapytań wraz z wyjaśnieniami zamawiający przekaże wykonawcom oraz umieści na  stronie prowadzonego postępowania, pod warunkiem, że wniosek o wyjaśnienia specyfikacji wpłynął do zamawiającego </w:t>
      </w:r>
      <w:r>
        <w:rPr>
          <w:rFonts w:eastAsia="Calibri" w:cs="Tahoma" w:ascii="Tahoma" w:hAnsi="Tahoma"/>
          <w:b/>
          <w:bCs/>
          <w:color w:val="000000"/>
          <w:sz w:val="21"/>
          <w:szCs w:val="21"/>
          <w:shd w:fill="FFFFFF" w:val="clear"/>
          <w:lang w:val="pl-PL" w:bidi="ar-SA"/>
        </w:rPr>
        <w:t>nie później niż na 7 dni przed upływem terminu składania ofer</w:t>
      </w:r>
      <w:r>
        <w:rPr>
          <w:rFonts w:eastAsia="Calibri" w:cs="Tahoma" w:ascii="Tahoma" w:hAnsi="Tahoma"/>
          <w:b w:val="false"/>
          <w:bCs w:val="false"/>
          <w:color w:val="000000"/>
          <w:sz w:val="21"/>
          <w:szCs w:val="21"/>
          <w:shd w:fill="FFFFFF" w:val="clear"/>
          <w:lang w:val="pl-PL" w:bidi="ar-SA"/>
        </w:rPr>
        <w:t>t.</w:t>
      </w:r>
    </w:p>
    <w:p>
      <w:pPr>
        <w:pStyle w:val="Normal"/>
        <w:spacing w:lineRule="auto" w:line="240" w:before="0" w:after="0"/>
        <w:jc w:val="left"/>
        <w:rPr>
          <w:rFonts w:ascii="Tahoma" w:hAnsi="Tahoma"/>
          <w:sz w:val="21"/>
          <w:szCs w:val="21"/>
          <w:highlight w:val="none"/>
          <w:shd w:fill="FFFFFF" w:val="clear"/>
        </w:rPr>
      </w:pPr>
      <w:r>
        <w:rPr>
          <w:rFonts w:ascii="Tahoma" w:hAnsi="Tahoma"/>
          <w:sz w:val="21"/>
          <w:szCs w:val="21"/>
          <w:shd w:fill="FFFFFF" w:val="clear"/>
        </w:rPr>
        <w:t>3. Jeżeli wniosek o wyjaśnienie treści SWZ wpłynął po upływie terminu składania wniosku określonym</w:t>
      </w:r>
    </w:p>
    <w:p>
      <w:pPr>
        <w:pStyle w:val="Normal"/>
        <w:widowControl w:val="false"/>
        <w:spacing w:lineRule="auto" w:line="240" w:before="0" w:after="0"/>
        <w:ind w:right="30"/>
        <w:jc w:val="both"/>
        <w:rPr>
          <w:rFonts w:ascii="Tahoma" w:hAnsi="Tahoma" w:eastAsia="Calibri" w:cs="Tahoma"/>
          <w:b w:val="false"/>
          <w:bCs w:val="false"/>
          <w:color w:val="000000"/>
          <w:sz w:val="21"/>
          <w:szCs w:val="21"/>
          <w:highlight w:val="none"/>
          <w:shd w:fill="FFFFFF" w:val="clear"/>
          <w:lang w:val="pl-PL" w:bidi="ar-SA"/>
        </w:rPr>
      </w:pPr>
      <w:r>
        <w:rPr>
          <w:rFonts w:eastAsia="Calibri" w:cs="Tahoma" w:ascii="Tahoma" w:hAnsi="Tahoma"/>
          <w:b w:val="false"/>
          <w:bCs w:val="false"/>
          <w:color w:val="000000"/>
          <w:sz w:val="21"/>
          <w:szCs w:val="21"/>
          <w:shd w:fill="FFFFFF" w:val="clear"/>
          <w:lang w:val="pl-PL" w:bidi="ar-SA"/>
        </w:rPr>
        <w:t>wyżej w pkt. 2, Zamawiający może udzielić wyjaśnień albo pozostawić wniosek bez rozpoznania.</w:t>
      </w:r>
    </w:p>
    <w:p>
      <w:pPr>
        <w:pStyle w:val="Normal"/>
        <w:widowControl w:val="false"/>
        <w:spacing w:lineRule="auto" w:line="240"/>
        <w:ind w:right="30"/>
        <w:jc w:val="both"/>
        <w:rPr/>
      </w:pPr>
      <w:r>
        <w:rPr>
          <w:rFonts w:eastAsia="Calibri" w:cs="Tahoma" w:ascii="Tahoma" w:hAnsi="Tahoma"/>
          <w:b w:val="false"/>
          <w:bCs w:val="false"/>
          <w:color w:val="000000"/>
          <w:sz w:val="21"/>
          <w:szCs w:val="21"/>
          <w:shd w:fill="FFFFFF" w:val="clear"/>
          <w:lang w:val="pl-PL" w:bidi="ar-SA"/>
        </w:rPr>
        <w:t>4. W przypadku zmiany treści specyfikacji nieprowadzącej do zmiany ogłoszenia o zamówieniu jest niezbędny dodatkowy czas na wprowadzenie zmian w ofertach, zamawiający przedłuży termin składania ofert i umieści taką informację na  stronie internetow</w:t>
      </w:r>
      <w:r>
        <w:rPr>
          <w:rFonts w:eastAsia="Calibri" w:cs="Tahoma" w:ascii="Tahoma" w:hAnsi="Tahoma"/>
          <w:b w:val="false"/>
          <w:bCs w:val="false"/>
          <w:color w:val="000000"/>
          <w:sz w:val="21"/>
          <w:szCs w:val="21"/>
          <w:u w:val="none"/>
          <w:shd w:fill="FFFFFF" w:val="clear"/>
          <w:lang w:val="pl-PL" w:bidi="ar-SA"/>
        </w:rPr>
        <w:t>ej</w:t>
      </w:r>
      <w:r>
        <w:rPr>
          <w:rStyle w:val="Hyperlink"/>
          <w:rFonts w:eastAsia="Calibri" w:cs="Tahoma" w:ascii="Tahoma" w:hAnsi="Tahoma"/>
          <w:b w:val="false"/>
          <w:bCs w:val="false"/>
          <w:color w:val="000000"/>
          <w:sz w:val="21"/>
          <w:szCs w:val="21"/>
          <w:u w:val="none"/>
          <w:shd w:fill="FFFFFF" w:val="clear"/>
          <w:lang w:val="pl-PL" w:bidi="ar-SA"/>
        </w:rPr>
        <w:t xml:space="preserve"> prowadzonego postępowania.</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Normal"/>
              <w:spacing w:lineRule="atLeast" w:line="100" w:before="0" w:after="160"/>
              <w:rPr>
                <w:rFonts w:ascii="Tahoma" w:hAnsi="Tahoma" w:cs="Tahoma"/>
                <w:b/>
                <w:bCs/>
                <w:sz w:val="20"/>
                <w:szCs w:val="20"/>
                <w:lang w:val="pl-PL" w:bidi="ar-SA"/>
              </w:rPr>
            </w:pPr>
            <w:r>
              <w:rPr>
                <w:rFonts w:cs="Tahoma" w:ascii="Tahoma" w:hAnsi="Tahoma"/>
                <w:b/>
                <w:bCs/>
                <w:sz w:val="20"/>
                <w:szCs w:val="20"/>
                <w:lang w:val="pl-PL" w:bidi="ar-SA"/>
              </w:rPr>
              <w:t>XI. WADIUM.</w:t>
            </w:r>
          </w:p>
        </w:tc>
      </w:tr>
    </w:tbl>
    <w:p>
      <w:pPr>
        <w:pStyle w:val="pkt"/>
        <w:spacing w:before="120" w:after="120"/>
        <w:ind w:right="0"/>
        <w:jc w:val="both"/>
        <w:rPr>
          <w:rFonts w:cs="Tahoma"/>
          <w:b/>
          <w:bCs/>
          <w:sz w:val="20"/>
          <w:szCs w:val="20"/>
          <w:lang w:val="pl-PL" w:bidi="ar-SA"/>
        </w:rPr>
      </w:pPr>
      <w:r>
        <w:rPr>
          <w:rFonts w:eastAsia="Calibri" w:cs="Tahoma" w:ascii="Tahoma" w:hAnsi="Tahoma"/>
          <w:b w:val="false"/>
          <w:bCs/>
          <w:iCs/>
          <w:color w:val="000000"/>
          <w:sz w:val="21"/>
          <w:szCs w:val="21"/>
          <w:u w:val="single"/>
          <w:lang w:val="pl-PL" w:bidi="ar-SA"/>
        </w:rPr>
        <w:t>Zamawiający nie wymaga wniesienia wadium</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spacing w:lineRule="atLeast" w:line="100" w:before="0" w:after="160"/>
              <w:rPr/>
            </w:pPr>
            <w:r>
              <w:rPr>
                <w:rFonts w:cs="Tahoma"/>
                <w:b/>
                <w:bCs/>
                <w:sz w:val="20"/>
                <w:szCs w:val="20"/>
                <w:lang w:val="pl-PL" w:bidi="ar-SA"/>
              </w:rPr>
              <w:t xml:space="preserve">XII. </w:t>
            </w:r>
            <w:r>
              <w:rPr>
                <w:rFonts w:eastAsia="Calibri" w:cs="Tahoma"/>
                <w:b/>
                <w:bCs/>
                <w:color w:val="000000"/>
                <w:sz w:val="20"/>
                <w:szCs w:val="20"/>
                <w:lang w:val="pl-PL" w:bidi="ar-SA"/>
              </w:rPr>
              <w:t>TERMIN ZWIĄZANIA OFERTĄ</w:t>
            </w:r>
          </w:p>
        </w:tc>
      </w:tr>
    </w:tbl>
    <w:p>
      <w:pPr>
        <w:pStyle w:val="Tekstpodstawowy2"/>
        <w:widowControl w:val="false"/>
        <w:spacing w:lineRule="atLeast" w:line="100" w:before="0" w:after="0"/>
        <w:ind w:right="30"/>
        <w:jc w:val="left"/>
        <w:rPr>
          <w:highlight w:val="none"/>
          <w:shd w:fill="FFFFFF" w:val="clear"/>
        </w:rPr>
      </w:pPr>
      <w:r>
        <w:rPr>
          <w:rFonts w:eastAsia="Calibri" w:cs="Tahoma"/>
          <w:b w:val="false"/>
          <w:bCs w:val="false"/>
          <w:color w:val="000000"/>
          <w:sz w:val="21"/>
          <w:szCs w:val="21"/>
          <w:shd w:fill="FFFFFF" w:val="clear"/>
          <w:lang w:val="pl-PL" w:bidi="ar-SA"/>
        </w:rPr>
        <w:t>1. Wykonawca jest związany ofertą przez okres</w:t>
      </w:r>
      <w:r>
        <w:rPr>
          <w:rFonts w:eastAsia="Calibri" w:cs="Tahoma"/>
          <w:b/>
          <w:bCs/>
          <w:color w:val="000000"/>
          <w:sz w:val="21"/>
          <w:szCs w:val="21"/>
          <w:shd w:fill="FFFFFF" w:val="clear"/>
          <w:lang w:val="pl-PL" w:bidi="ar-SA"/>
        </w:rPr>
        <w:t xml:space="preserve"> 90 dni </w:t>
      </w:r>
      <w:r>
        <w:rPr>
          <w:rFonts w:eastAsia="Calibri" w:cs="Tahoma"/>
          <w:b w:val="false"/>
          <w:bCs w:val="false"/>
          <w:color w:val="000000"/>
          <w:sz w:val="21"/>
          <w:szCs w:val="21"/>
          <w:shd w:fill="FFFFFF" w:val="clear"/>
          <w:lang w:val="pl-PL" w:bidi="ar-SA"/>
        </w:rPr>
        <w:t xml:space="preserve">od dnia upływu terminu składania ofert do dnia </w:t>
      </w:r>
      <w:r>
        <w:rPr>
          <w:rFonts w:eastAsia="Calibri" w:cs="Tahoma"/>
          <w:b/>
          <w:bCs/>
          <w:color w:val="000000"/>
          <w:sz w:val="21"/>
          <w:szCs w:val="21"/>
          <w:shd w:fill="FFFFFF" w:val="clear"/>
          <w:lang w:val="pl-PL" w:bidi="ar-SA"/>
        </w:rPr>
        <w:t>28.07.</w:t>
      </w:r>
      <w:r>
        <w:rPr>
          <w:rFonts w:eastAsia="Calibri" w:cs="Tahoma"/>
          <w:b/>
          <w:bCs/>
          <w:iCs/>
          <w:color w:val="000000"/>
          <w:sz w:val="21"/>
          <w:szCs w:val="21"/>
          <w:shd w:fill="FFFFFF" w:val="clear"/>
          <w:lang w:val="pl-PL" w:eastAsia="zh-CN" w:bidi="ar-SA"/>
        </w:rPr>
        <w:t>2026</w:t>
      </w:r>
      <w:r>
        <w:rPr>
          <w:rFonts w:eastAsia="Calibri" w:cs="Tahoma"/>
          <w:b/>
          <w:bCs/>
          <w:color w:val="000000"/>
          <w:sz w:val="21"/>
          <w:szCs w:val="21"/>
          <w:shd w:fill="FFFFFF" w:val="clear"/>
          <w:lang w:val="pl-PL" w:bidi="ar-SA"/>
        </w:rPr>
        <w:t>r.</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shd w:fill="FFFFFF" w:val="clear"/>
          <w:lang w:val="pl-PL" w:bidi="ar-SA"/>
        </w:rPr>
        <w:t xml:space="preserve">2. W przypadku gdy wybór najkorzystniejszej oferty nie nastąpi przed upływem terminu związania ofertą określonego w SWZ, Zamawiający przed upływem terminu związania ofertą zwraca się jednokrotnie do </w:t>
      </w:r>
      <w:r>
        <w:rPr>
          <w:rFonts w:eastAsia="Calibri" w:cs="Tahoma"/>
          <w:b w:val="false"/>
          <w:bCs w:val="false"/>
          <w:color w:val="000000"/>
          <w:sz w:val="21"/>
          <w:szCs w:val="21"/>
          <w:lang w:val="pl-PL" w:bidi="ar-SA"/>
        </w:rPr>
        <w:t xml:space="preserve">Wykonawców o wyrażenie zgody na przedłużenie tego terminu o wskazywany przez niego okres, </w:t>
      </w:r>
      <w:r>
        <w:rPr>
          <w:rFonts w:eastAsia="Calibri" w:cs="Tahoma"/>
          <w:b/>
          <w:bCs/>
          <w:color w:val="000000"/>
          <w:sz w:val="21"/>
          <w:szCs w:val="21"/>
          <w:lang w:val="pl-PL" w:bidi="ar-SA"/>
        </w:rPr>
        <w:t>nie dłuższy niż 60 dni.</w:t>
      </w:r>
    </w:p>
    <w:p>
      <w:pPr>
        <w:pStyle w:val="Tekstpodstawowy2"/>
        <w:widowControl w:val="false"/>
        <w:spacing w:lineRule="atLeast" w:line="100" w:before="0" w:after="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bidi="ar-SA"/>
        </w:rPr>
        <w:t>3. Przedłużenie terminu związania ofertą, o którym mowa w ust. 2, wymaga złożenia przez Wykonawce pisemnego  oświadczenia o wyrażeniu zgody na przedłużenie terminu związania ofertą.</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XIII. OPIS SPOSOBU PRZYGOTOWANIA OFERTY ORAZ WYMAGANIA FORMALNE DOTYCZĄCE SKŁADANYCH OŚWIADCZEŃ I DOKUMENTÓW</w:t>
            </w:r>
          </w:p>
        </w:tc>
      </w:tr>
    </w:tbl>
    <w:p>
      <w:pPr>
        <w:pStyle w:val="Normal"/>
        <w:widowControl w:val="false"/>
        <w:spacing w:lineRule="atLeast" w:line="100"/>
        <w:ind w:right="30"/>
        <w:jc w:val="both"/>
        <w:rPr>
          <w:rFonts w:ascii="Tahoma" w:hAnsi="Tahoma" w:eastAsia="Calibri" w:cs="Tahoma"/>
          <w:b w:val="false"/>
          <w:bCs w:val="false"/>
          <w:color w:val="000000"/>
          <w:sz w:val="21"/>
          <w:szCs w:val="21"/>
        </w:rPr>
      </w:pPr>
      <w:r>
        <w:rPr>
          <w:rFonts w:eastAsia="Calibri" w:cs="Tahoma" w:ascii="Tahoma" w:hAnsi="Tahoma"/>
          <w:b/>
          <w:bCs/>
          <w:color w:val="000000"/>
          <w:sz w:val="20"/>
          <w:szCs w:val="20"/>
          <w:lang w:val="pl-PL" w:bidi="ar-SA"/>
        </w:rPr>
        <w:t>1)  OPIS SPOSOBU PRZYGOTOWANIA OFERTY</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1.Wykonawca przygotowuje ofertę przy pomocy interaktywnego „Formularza ofertowego” udostępnionego przez Zamawiającego na Platformie e-Zamówienia i zamieszczonego w podglądzie postępowania w zakładce „Informacje podstawowe”. </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2. 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pPr>
        <w:pStyle w:val="Tekstpodstawowy26"/>
        <w:widowControl w:val="false"/>
        <w:spacing w:lineRule="atLeast" w:line="100" w:before="0" w:after="0"/>
        <w:ind w:right="30"/>
        <w:jc w:val="both"/>
        <w:rPr>
          <w:rFonts w:ascii="Tahoma" w:hAnsi="Tahoma" w:eastAsia="Calibri" w:cs="Tahoma"/>
          <w:b/>
          <w:bCs/>
          <w:color w:val="000000"/>
          <w:sz w:val="21"/>
          <w:szCs w:val="21"/>
        </w:rPr>
      </w:pPr>
      <w:r>
        <w:rPr>
          <w:rFonts w:eastAsia="Calibri" w:cs="Tahoma"/>
          <w:b w:val="false"/>
          <w:bCs w:val="false"/>
          <w:color w:val="000000"/>
          <w:sz w:val="21"/>
          <w:szCs w:val="21"/>
        </w:rPr>
        <w:t>3. 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bCs/>
          <w:color w:val="000000"/>
          <w:sz w:val="21"/>
          <w:szCs w:val="21"/>
        </w:rPr>
        <w:t xml:space="preserve">Uwaga! Nie należy zmieniać nazwy pliku nadanej przez Platformę e-Zamówienia. Zapisany „Formularz ofertowy” należy zawsze otwierać w programie Adobe Acrobat Reader DC. </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 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pPr>
        <w:pStyle w:val="Tekstpodstawowy26"/>
        <w:widowControl w:val="false"/>
        <w:spacing w:lineRule="atLeast" w:line="100" w:before="0" w:after="0"/>
        <w:ind w:right="30"/>
        <w:jc w:val="both"/>
        <w:rPr>
          <w:rFonts w:ascii="Tahoma" w:hAnsi="Tahoma" w:eastAsia="Calibri" w:cs="Tahoma"/>
          <w:b/>
          <w:bCs/>
          <w:color w:val="000000"/>
          <w:sz w:val="21"/>
          <w:szCs w:val="21"/>
        </w:rPr>
      </w:pPr>
      <w:r>
        <w:rPr>
          <w:rFonts w:eastAsia="Calibri" w:cs="Tahoma"/>
          <w:b w:val="false"/>
          <w:bCs w:val="false"/>
          <w:color w:val="000000"/>
          <w:sz w:val="21"/>
          <w:szCs w:val="21"/>
        </w:rPr>
        <w:t>5.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bCs/>
          <w:color w:val="000000"/>
          <w:sz w:val="21"/>
          <w:szCs w:val="21"/>
        </w:rPr>
        <w:t>Wykaz poszczególnych dokumentów i oświadczeń składanych wraz z ofertą, ich forma, sposób sporządzania i przekazywania zostały określone przez Zamawiającego w rozdz.</w:t>
      </w:r>
      <w:r>
        <w:rPr>
          <w:rFonts w:eastAsia="Calibri" w:cs="Tahoma"/>
          <w:b/>
          <w:bCs/>
          <w:color w:val="C9211E"/>
          <w:sz w:val="21"/>
          <w:szCs w:val="21"/>
        </w:rPr>
        <w:t xml:space="preserve"> </w:t>
      </w:r>
      <w:r>
        <w:rPr>
          <w:rFonts w:eastAsia="Calibri" w:cs="Tahoma"/>
          <w:b/>
          <w:bCs/>
          <w:iCs/>
          <w:color w:val="000000"/>
          <w:kern w:val="2"/>
          <w:sz w:val="21"/>
          <w:szCs w:val="21"/>
          <w:lang w:val="zxx" w:eastAsia="zxx" w:bidi="zxx"/>
        </w:rPr>
        <w:t>VII i IX</w:t>
      </w:r>
      <w:r>
        <w:rPr>
          <w:rFonts w:eastAsia="Calibri" w:cs="Tahoma"/>
          <w:b/>
          <w:bCs/>
          <w:color w:val="000000"/>
          <w:sz w:val="21"/>
          <w:szCs w:val="21"/>
        </w:rPr>
        <w:t xml:space="preserve"> SWZ.</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6. 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7. Formularz ofertowy podpisuje się kwalifikowanym podpisem elektronicznym, podpisem zaufanym lub podpisem osobistym w formacie PAdES typ wewnętrzny. 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8. 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pPr>
        <w:pStyle w:val="pkt"/>
        <w:widowControl w:val="false"/>
        <w:spacing w:lineRule="atLeast" w:line="100" w:before="0" w:after="0"/>
        <w:ind w:right="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rPr>
        <w:t>9. Wykonawca może złożyć tylko jedną ofertę.</w:t>
      </w:r>
    </w:p>
    <w:p>
      <w:pPr>
        <w:pStyle w:val="pkt"/>
        <w:widowControl w:val="false"/>
        <w:numPr>
          <w:ilvl w:val="0"/>
          <w:numId w:val="0"/>
        </w:numPr>
        <w:spacing w:lineRule="atLeast" w:line="100" w:before="0" w:after="0"/>
        <w:ind w:hanging="0" w:left="0" w:right="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rPr>
        <w:t>10. Treść oferty musi odpowiadać treści SWZ.</w:t>
      </w:r>
    </w:p>
    <w:p>
      <w:pPr>
        <w:pStyle w:val="pkt"/>
        <w:widowControl w:val="false"/>
        <w:numPr>
          <w:ilvl w:val="0"/>
          <w:numId w:val="0"/>
        </w:numPr>
        <w:spacing w:lineRule="atLeast" w:line="100" w:before="0" w:after="0"/>
        <w:ind w:hanging="0" w:left="0" w:right="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rPr>
        <w:t>11. Zamawiający zaleca ponumerowanie stron oferty.</w:t>
      </w:r>
    </w:p>
    <w:p>
      <w:pPr>
        <w:pStyle w:val="Tekstpodstawowy2"/>
        <w:widowControl w:val="false"/>
        <w:numPr>
          <w:ilvl w:val="0"/>
          <w:numId w:val="0"/>
        </w:numPr>
        <w:spacing w:lineRule="atLeast" w:line="100" w:before="0" w:after="0"/>
        <w:ind w:hanging="0" w:left="0" w:right="30"/>
        <w:jc w:val="both"/>
        <w:rPr>
          <w:rFonts w:ascii="Tahoma" w:hAnsi="Tahoma" w:eastAsia="Calibri" w:cs="Tahoma"/>
          <w:b w:val="false"/>
          <w:bCs w:val="false"/>
          <w:color w:val="000000"/>
          <w:sz w:val="21"/>
          <w:szCs w:val="21"/>
          <w:u w:val="single"/>
        </w:rPr>
      </w:pPr>
      <w:r>
        <w:rPr>
          <w:rFonts w:eastAsia="Calibri" w:cs="Tahoma"/>
          <w:b w:val="false"/>
          <w:bCs w:val="false"/>
          <w:color w:val="000000"/>
          <w:sz w:val="21"/>
          <w:szCs w:val="21"/>
        </w:rPr>
        <w:t xml:space="preserve">12. Jeżeli Wykonawca nie złoży przedmiotowych środków dowodowych lub złożone przedmiotowe środki dowodowe będą niekompletne, Zamawiający wezwie do ich złożenia lub uzupełnienia w wyznaczonym terminie. (art. 107 Pzp) </w:t>
      </w:r>
    </w:p>
    <w:p>
      <w:pPr>
        <w:pStyle w:val="pkt"/>
        <w:widowControl w:val="false"/>
        <w:numPr>
          <w:ilvl w:val="0"/>
          <w:numId w:val="0"/>
        </w:numPr>
        <w:spacing w:lineRule="atLeast" w:line="100" w:before="0" w:after="0"/>
        <w:ind w:hanging="0" w:left="0" w:right="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u w:val="single"/>
        </w:rPr>
        <w:t>13. Postanowień ust. 12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14. Oferta może być złożona tylko do upływu terminu składania ofert.</w:t>
      </w:r>
    </w:p>
    <w:p>
      <w:pPr>
        <w:pStyle w:val="Tekstpodstawowy26"/>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15. Wykonawca może przed upływem terminu składania ofert wycofać ofertę. Wykonawca wycofuje ofertę w zakładce „Oferty/wnioski” używając przycisku „Wycofaj ofertę”.</w:t>
      </w:r>
    </w:p>
    <w:p>
      <w:pPr>
        <w:pStyle w:val="Tekstpodstawowy26"/>
        <w:widowControl w:val="false"/>
        <w:spacing w:lineRule="atLeast" w:line="100" w:before="0" w:after="0"/>
        <w:ind w:right="30"/>
        <w:jc w:val="both"/>
        <w:rPr>
          <w:rFonts w:ascii="Tahoma" w:hAnsi="Tahoma" w:cs="Tahoma"/>
          <w:color w:val="000000"/>
          <w:sz w:val="21"/>
          <w:szCs w:val="21"/>
        </w:rPr>
      </w:pPr>
      <w:r>
        <w:rPr>
          <w:rFonts w:eastAsia="Calibri" w:cs="Tahoma"/>
          <w:b w:val="false"/>
          <w:bCs w:val="false"/>
          <w:color w:val="000000"/>
          <w:sz w:val="21"/>
          <w:szCs w:val="21"/>
        </w:rPr>
        <w:t xml:space="preserve">16. </w:t>
      </w:r>
      <w:r>
        <w:rPr>
          <w:rFonts w:eastAsia="Calibri" w:cs="Tahoma"/>
          <w:b w:val="false"/>
          <w:bCs w:val="false"/>
          <w:color w:val="000000"/>
          <w:sz w:val="21"/>
          <w:szCs w:val="21"/>
          <w:u w:val="single"/>
        </w:rPr>
        <w:t xml:space="preserve">Maksymalny łączny rozmiar plików stanowiących ofertę lub składanych wraz z ofertą </w:t>
      </w:r>
      <w:r>
        <w:rPr>
          <w:rFonts w:eastAsia="Calibri" w:cs="Tahoma"/>
          <w:b/>
          <w:bCs/>
          <w:color w:val="000000"/>
          <w:sz w:val="21"/>
          <w:szCs w:val="21"/>
          <w:u w:val="single"/>
        </w:rPr>
        <w:t>to 250 MB</w:t>
      </w:r>
      <w:r>
        <w:rPr>
          <w:rFonts w:eastAsia="Calibri" w:cs="Tahoma"/>
          <w:b w:val="false"/>
          <w:bCs w:val="false"/>
          <w:color w:val="000000"/>
          <w:sz w:val="21"/>
          <w:szCs w:val="21"/>
          <w:u w:val="single"/>
        </w:rPr>
        <w:t>.</w:t>
      </w:r>
    </w:p>
    <w:p>
      <w:pPr>
        <w:pStyle w:val="pkt"/>
        <w:numPr>
          <w:ilvl w:val="0"/>
          <w:numId w:val="0"/>
        </w:numPr>
        <w:spacing w:before="0" w:after="0"/>
        <w:ind w:hanging="0" w:left="0" w:right="0"/>
        <w:jc w:val="both"/>
        <w:rPr>
          <w:rFonts w:ascii="Tahoma" w:hAnsi="Tahoma" w:cs="Tahoma"/>
          <w:color w:val="000000"/>
          <w:sz w:val="21"/>
          <w:szCs w:val="21"/>
        </w:rPr>
      </w:pPr>
      <w:r>
        <w:rPr>
          <w:rFonts w:cs="Tahoma" w:ascii="Tahoma" w:hAnsi="Tahoma"/>
          <w:color w:val="000000"/>
          <w:sz w:val="21"/>
          <w:szCs w:val="21"/>
        </w:rPr>
        <w:t xml:space="preserve">17.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pPr>
        <w:pStyle w:val="pkt"/>
        <w:numPr>
          <w:ilvl w:val="0"/>
          <w:numId w:val="0"/>
        </w:numPr>
        <w:spacing w:before="0" w:after="0"/>
        <w:ind w:hanging="0" w:left="0" w:right="0"/>
        <w:jc w:val="both"/>
        <w:rPr>
          <w:rFonts w:ascii="Tahoma" w:hAnsi="Tahoma" w:cs="Tahoma"/>
          <w:b/>
          <w:color w:val="000000"/>
          <w:sz w:val="21"/>
          <w:szCs w:val="21"/>
        </w:rPr>
      </w:pPr>
      <w:r>
        <w:rPr>
          <w:rFonts w:cs="Tahoma" w:ascii="Tahoma" w:hAnsi="Tahoma"/>
          <w:color w:val="000000"/>
          <w:sz w:val="21"/>
          <w:szCs w:val="21"/>
        </w:rPr>
        <w:t>18. Oferta oraz pozostałe oświadczenia i dokumenty, dla których Zamawiający określił wzory w formie formularzy zamieszczonych w załącznikach do SWZ, powinny być sporządzone zgodnie z tymi wzorami, co do treści oraz opisu kolumn i wierszy.</w:t>
      </w:r>
    </w:p>
    <w:p>
      <w:pPr>
        <w:pStyle w:val="pkt"/>
        <w:numPr>
          <w:ilvl w:val="0"/>
          <w:numId w:val="0"/>
        </w:numPr>
        <w:spacing w:before="0" w:after="0"/>
        <w:ind w:hanging="0" w:left="0" w:right="0"/>
        <w:jc w:val="both"/>
        <w:rPr>
          <w:rFonts w:ascii="Tahoma" w:hAnsi="Tahoma" w:cs="Tahoma"/>
          <w:b w:val="false"/>
          <w:bCs w:val="false"/>
          <w:color w:val="000000"/>
          <w:sz w:val="21"/>
          <w:szCs w:val="21"/>
        </w:rPr>
      </w:pPr>
      <w:r>
        <w:rPr>
          <w:rFonts w:cs="Tahoma" w:ascii="Tahoma" w:hAnsi="Tahoma"/>
          <w:b/>
          <w:color w:val="000000"/>
          <w:sz w:val="21"/>
          <w:szCs w:val="21"/>
        </w:rPr>
        <w:t>19.</w:t>
      </w:r>
      <w:r>
        <w:rPr>
          <w:rFonts w:cs="Tahoma" w:ascii="Tahoma" w:hAnsi="Tahoma"/>
          <w:b w:val="false"/>
          <w:bCs w:val="false"/>
          <w:color w:val="000000"/>
          <w:sz w:val="21"/>
          <w:szCs w:val="21"/>
        </w:rPr>
        <w:t xml:space="preserve"> </w:t>
      </w:r>
      <w:r>
        <w:rPr>
          <w:rFonts w:eastAsia="Calibri" w:cs="Tahoma" w:ascii="Tahoma" w:hAnsi="Tahoma"/>
          <w:b/>
          <w:bCs/>
          <w:color w:val="000000"/>
          <w:sz w:val="21"/>
          <w:szCs w:val="21"/>
        </w:rPr>
        <w:t xml:space="preserve">Oferta musi być sporządzona </w:t>
      </w:r>
      <w:r>
        <w:rPr>
          <w:rFonts w:cs="Tahoma" w:ascii="Tahoma" w:hAnsi="Tahoma"/>
          <w:b/>
          <w:bCs/>
          <w:color w:val="000000"/>
          <w:sz w:val="21"/>
          <w:szCs w:val="21"/>
        </w:rPr>
        <w:t xml:space="preserve"> pod rygorem nieważności w </w:t>
      </w:r>
      <w:r>
        <w:rPr>
          <w:rFonts w:eastAsia="Calibri" w:cs="Tahoma" w:ascii="Tahoma" w:hAnsi="Tahoma"/>
          <w:b/>
          <w:bCs/>
          <w:color w:val="000000"/>
          <w:sz w:val="21"/>
          <w:szCs w:val="21"/>
        </w:rPr>
        <w:t xml:space="preserve"> postaci elektronicznej</w:t>
      </w:r>
      <w:r>
        <w:rPr>
          <w:rFonts w:cs="Tahoma" w:ascii="Tahoma" w:hAnsi="Tahoma"/>
          <w:b/>
          <w:bCs/>
          <w:color w:val="000000"/>
          <w:sz w:val="21"/>
          <w:szCs w:val="21"/>
        </w:rPr>
        <w:t xml:space="preserve"> </w:t>
      </w:r>
      <w:r>
        <w:rPr>
          <w:rFonts w:eastAsia="Calibri" w:cs="Tahoma" w:ascii="Tahoma" w:hAnsi="Tahoma"/>
          <w:b/>
          <w:bCs/>
          <w:color w:val="000000"/>
          <w:sz w:val="21"/>
          <w:szCs w:val="21"/>
        </w:rPr>
        <w:t xml:space="preserve"> opatrzona kwalifikowanym podpisem elektronicznym.</w:t>
      </w:r>
    </w:p>
    <w:p>
      <w:pPr>
        <w:pStyle w:val="pkt"/>
        <w:numPr>
          <w:ilvl w:val="0"/>
          <w:numId w:val="0"/>
        </w:numPr>
        <w:spacing w:before="0" w:after="0"/>
        <w:ind w:hanging="0" w:left="0" w:right="0"/>
        <w:jc w:val="both"/>
        <w:rPr>
          <w:rFonts w:ascii="Tahoma" w:hAnsi="Tahoma" w:eastAsia="Calibri" w:cs="Tahoma"/>
          <w:b w:val="false"/>
          <w:bCs w:val="false"/>
          <w:color w:val="000000"/>
          <w:sz w:val="21"/>
          <w:szCs w:val="21"/>
        </w:rPr>
      </w:pPr>
      <w:r>
        <w:rPr>
          <w:rFonts w:cs="Tahoma" w:ascii="Tahoma" w:hAnsi="Tahoma"/>
          <w:b w:val="false"/>
          <w:bCs w:val="false"/>
          <w:color w:val="000000"/>
          <w:sz w:val="21"/>
          <w:szCs w:val="21"/>
        </w:rPr>
        <w:t>20.</w:t>
      </w:r>
      <w:r>
        <w:rPr>
          <w:rFonts w:cs="Tahoma" w:ascii="Tahoma" w:hAnsi="Tahoma"/>
          <w:b/>
          <w:bCs/>
          <w:color w:val="000000"/>
          <w:sz w:val="21"/>
          <w:szCs w:val="21"/>
        </w:rPr>
        <w:t xml:space="preserve"> Oferta powinna być sporządzona w języku polskim</w:t>
      </w:r>
      <w:r>
        <w:rPr>
          <w:rFonts w:cs="Tahoma" w:ascii="Tahoma" w:hAnsi="Tahoma"/>
          <w:b w:val="false"/>
          <w:bCs w:val="false"/>
          <w:color w:val="000000"/>
          <w:sz w:val="21"/>
          <w:szCs w:val="21"/>
        </w:rPr>
        <w:t>. Każdy dokument składający się na ofertę powinien być czytelny.</w:t>
      </w:r>
    </w:p>
    <w:p>
      <w:pPr>
        <w:pStyle w:val="pkt"/>
        <w:widowControl w:val="false"/>
        <w:numPr>
          <w:ilvl w:val="0"/>
          <w:numId w:val="0"/>
        </w:numPr>
        <w:spacing w:lineRule="atLeast" w:line="100" w:before="0" w:after="0"/>
        <w:ind w:hanging="0" w:left="0" w:right="3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rPr>
        <w:t>21. Wszystkie koszty związane z uczestnictwem w postępowaniu, w szczególności z przygotowaniem i złożeniem oferty ponosi Wykonawca składający ofertę. Zamawiający nie przewiduje zwrotu kosztów udziału w postępowaniu.</w:t>
      </w:r>
    </w:p>
    <w:p>
      <w:pPr>
        <w:pStyle w:val="Normal"/>
        <w:rPr>
          <w:rFonts w:ascii="Tahoma" w:hAnsi="Tahoma" w:eastAsia="Calibri" w:cs="Tahoma"/>
          <w:b/>
          <w:bCs/>
          <w:color w:val="000000"/>
          <w:sz w:val="21"/>
          <w:szCs w:val="21"/>
          <w:lang w:val="pl-PL" w:bidi="ar-SA"/>
        </w:rPr>
      </w:pPr>
      <w:r>
        <w:rPr>
          <w:rFonts w:eastAsia="Calibri" w:cs="Tahoma" w:ascii="Tahoma" w:hAnsi="Tahoma"/>
          <w:b w:val="false"/>
          <w:bCs w:val="false"/>
          <w:color w:val="000000"/>
          <w:sz w:val="21"/>
          <w:szCs w:val="21"/>
        </w:rPr>
        <w:t xml:space="preserve">22. </w:t>
      </w:r>
      <w:r>
        <w:rPr>
          <w:rFonts w:cs="Tahoma" w:ascii="Tahoma" w:hAnsi="Tahoma"/>
          <w:color w:val="000000"/>
          <w:sz w:val="21"/>
          <w:szCs w:val="21"/>
        </w:rPr>
        <w:t>Opublikowany przez Zamawiającego Jednolity europejski dokument zamówienia jest dostępny dla</w:t>
        <w:br/>
        <w:t>Wykonawcy z poziomu podglądu wybranego postępowania/konkursu.</w:t>
        <w:br/>
        <w:t>Aby uruchomić formularz JEDZ w trybie, edycji użytkownik powinien wybrać opcję „Wypełnij”</w:t>
        <w:br/>
        <w:t>w sekcji „Ogłoszenia i dokumenty postępowania utworzone w systemie” / „Jednolity europejski</w:t>
        <w:br/>
        <w:t>dokument zamówienia” Wykonawca ma możliwość pobrania wersji roboczej formularza JEDZ w formacie xml.</w:t>
        <w:br/>
        <w:t>Plik można pobrać w dowolnym momencie tworzenia formularza JEDZ poprzez wybranie opcji</w:t>
        <w:br/>
        <w:t>Pobierz plik roboczy.</w:t>
        <w:br/>
        <w:t>Wykonawca może pobrać Jednolity europejski dokument zamówienia w formacie PDF.</w:t>
        <w:br/>
        <w:t>Warunkiem koniecznym do wygenerowania pliku jest poprawne wypełnienie formularza.</w:t>
        <w:br/>
        <w:t>W przypadku wykrycia błędów system wyświetla komunikat zawierający wszystkie</w:t>
        <w:br/>
        <w:t>nieprawidłowości wykryte w formularzu.</w:t>
        <w:br/>
        <w:t>Po poprawnym wypełnieniu formularza Wykonawca może pobrać go na jeden z dwóch sposobów:</w:t>
        <w:br/>
        <w:t>za pomocą przycisku Pobierz JEDZ lub wybierając z menu opcję Pobierz JEDZ i plik roboczy</w:t>
        <w:br/>
        <w:t>W zależności od przeglądarki oraz ustawień przeglądarki plik może zostać pobrany w sposób</w:t>
        <w:br/>
        <w:t>automatyczny i od razu zapisany na dysku lub może się wyświetlić dodatkowe okno z opcjami do</w:t>
        <w:br/>
        <w:t xml:space="preserve">wyboru „Otwórz za pomocą”, „Zapisz plik”. </w:t>
        <w:br/>
        <w:t>Po podpisaniu nie należy modyfikować pliku.</w:t>
        <w:br/>
        <w:t xml:space="preserve">Nie należy zmieniać nazwy pliku formularza </w:t>
      </w:r>
    </w:p>
    <w:p>
      <w:pPr>
        <w:pStyle w:val="Tekstpodstawowy2"/>
        <w:widowControl w:val="false"/>
        <w:numPr>
          <w:ilvl w:val="0"/>
          <w:numId w:val="0"/>
        </w:numPr>
        <w:spacing w:lineRule="atLeast" w:line="100" w:before="0" w:after="160"/>
        <w:ind w:hanging="0" w:left="0" w:right="30"/>
        <w:jc w:val="both"/>
        <w:rPr>
          <w:color w:val="000000"/>
          <w:highlight w:val="none"/>
          <w:u w:val="single"/>
          <w:shd w:fill="DDDDDD" w:val="clear"/>
        </w:rPr>
      </w:pPr>
      <w:r>
        <w:rPr>
          <w:rFonts w:eastAsia="Calibri" w:cs="Tahoma"/>
          <w:b/>
          <w:bCs/>
          <w:color w:val="000000"/>
          <w:sz w:val="21"/>
          <w:szCs w:val="21"/>
          <w:u w:val="single"/>
          <w:shd w:fill="DDDDDD" w:val="clear"/>
          <w:lang w:val="pl-PL" w:bidi="ar-SA"/>
        </w:rPr>
        <w:t>2) WYMAGANIA FORMALNE DOTYCZĄCE SKŁADANYCH OŚWIADCZEŃ I DOKUMENTÓW</w:t>
      </w:r>
    </w:p>
    <w:p>
      <w:pPr>
        <w:pStyle w:val="Tekstpodstawowy2"/>
        <w:widowControl w:val="false"/>
        <w:spacing w:lineRule="auto" w:line="24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 Wykonawca może złożyć tylko jedną ofertę.</w:t>
      </w:r>
    </w:p>
    <w:p>
      <w:pPr>
        <w:pStyle w:val="Tekstpodstawowy2"/>
        <w:widowControl w:val="false"/>
        <w:spacing w:lineRule="auto" w:line="240" w:before="0" w:after="0"/>
        <w:ind w:right="30"/>
        <w:jc w:val="both"/>
        <w:rPr>
          <w:rFonts w:ascii="Tahoma" w:hAnsi="Tahoma" w:eastAsia="Calibri" w:cs="Tahoma"/>
          <w:b w:val="false"/>
          <w:bCs w:val="false"/>
          <w:color w:val="000000"/>
          <w:sz w:val="21"/>
          <w:szCs w:val="21"/>
          <w:u w:val="single"/>
        </w:rPr>
      </w:pPr>
      <w:r>
        <w:rPr>
          <w:rFonts w:eastAsia="Calibri" w:cs="Tahoma"/>
          <w:b w:val="false"/>
          <w:bCs w:val="false"/>
          <w:color w:val="000000"/>
          <w:sz w:val="21"/>
          <w:szCs w:val="21"/>
        </w:rPr>
        <w:t>2. Treść oferty musi odpowiadać treści SWZ</w:t>
      </w:r>
    </w:p>
    <w:p>
      <w:pPr>
        <w:pStyle w:val="Tekstpodstawowy2"/>
        <w:widowControl w:val="false"/>
        <w:spacing w:lineRule="auto" w:line="240" w:before="0" w:after="0"/>
        <w:ind w:right="30"/>
        <w:jc w:val="both"/>
        <w:rPr>
          <w:rFonts w:ascii="Tahoma" w:hAnsi="Tahoma" w:cs="Tahoma"/>
          <w:b/>
          <w:bCs/>
          <w:sz w:val="21"/>
          <w:szCs w:val="21"/>
        </w:rPr>
      </w:pPr>
      <w:r>
        <w:rPr>
          <w:rFonts w:eastAsia="Calibri" w:cs="Tahoma"/>
          <w:b w:val="false"/>
          <w:bCs w:val="false"/>
          <w:color w:val="000000"/>
          <w:sz w:val="21"/>
          <w:szCs w:val="21"/>
          <w:u w:val="single"/>
        </w:rPr>
        <w:t>3.</w:t>
      </w:r>
      <w:r>
        <w:rPr>
          <w:rFonts w:cs="Tahoma"/>
          <w:sz w:val="21"/>
          <w:szCs w:val="21"/>
          <w:u w:val="single"/>
        </w:rPr>
        <w:t>Ofertę sporządza się w języku polskim. Wykonawca jest zobowiązany złożyć dokumenty składające się na ofertę:</w:t>
      </w:r>
    </w:p>
    <w:p>
      <w:pPr>
        <w:pStyle w:val="Normal"/>
        <w:numPr>
          <w:ilvl w:val="0"/>
          <w:numId w:val="0"/>
        </w:numPr>
        <w:spacing w:lineRule="auto" w:line="240" w:before="0" w:after="46"/>
        <w:ind w:hanging="0" w:left="0" w:right="20"/>
        <w:jc w:val="both"/>
        <w:rPr>
          <w:rFonts w:ascii="Tahoma" w:hAnsi="Tahoma" w:cs="Tahoma"/>
          <w:b/>
          <w:bCs/>
          <w:color w:val="000000"/>
          <w:sz w:val="21"/>
          <w:szCs w:val="21"/>
        </w:rPr>
      </w:pPr>
      <w:r>
        <w:rPr>
          <w:rFonts w:cs="Tahoma" w:ascii="Tahoma" w:hAnsi="Tahoma"/>
          <w:b/>
          <w:bCs/>
          <w:sz w:val="21"/>
          <w:szCs w:val="21"/>
        </w:rPr>
        <w:t xml:space="preserve">a. Wypełniony Formularz ofertowy( interaktywny) udostępniony przez Zamawiającego na Platformie e-Zamówienia </w:t>
      </w:r>
    </w:p>
    <w:p>
      <w:pPr>
        <w:pStyle w:val="Normal"/>
        <w:numPr>
          <w:ilvl w:val="0"/>
          <w:numId w:val="0"/>
        </w:numPr>
        <w:spacing w:lineRule="auto" w:line="240" w:before="0" w:after="0"/>
        <w:ind w:hanging="0" w:left="0" w:right="20"/>
        <w:jc w:val="both"/>
        <w:rPr>
          <w:rFonts w:ascii="Tahoma" w:hAnsi="Tahoma" w:cs="Tahoma"/>
          <w:b/>
          <w:bCs/>
          <w:sz w:val="21"/>
          <w:szCs w:val="21"/>
        </w:rPr>
      </w:pPr>
      <w:r>
        <w:rPr>
          <w:rFonts w:cs="Tahoma" w:ascii="Tahoma" w:hAnsi="Tahoma"/>
          <w:b/>
          <w:bCs/>
          <w:color w:val="000000"/>
          <w:sz w:val="21"/>
          <w:szCs w:val="21"/>
        </w:rPr>
        <w:t xml:space="preserve">b. Wypełniony Formularz oświadczeń  - </w:t>
      </w:r>
      <w:r>
        <w:rPr>
          <w:rFonts w:cs="Tahoma" w:ascii="Tahoma" w:hAnsi="Tahoma"/>
          <w:b w:val="false"/>
          <w:bCs w:val="false"/>
          <w:color w:val="000000"/>
          <w:sz w:val="21"/>
          <w:szCs w:val="21"/>
        </w:rPr>
        <w:t>Załącznik nr 4 do SWZ</w:t>
      </w:r>
    </w:p>
    <w:p>
      <w:pPr>
        <w:pStyle w:val="Normal"/>
        <w:numPr>
          <w:ilvl w:val="0"/>
          <w:numId w:val="0"/>
        </w:numPr>
        <w:spacing w:lineRule="auto" w:line="240" w:before="0" w:after="0"/>
        <w:ind w:hanging="0" w:left="0" w:right="20"/>
        <w:jc w:val="both"/>
        <w:rPr>
          <w:rFonts w:ascii="Tahoma" w:hAnsi="Tahoma" w:cs="Tahoma"/>
          <w:b/>
          <w:bCs/>
          <w:sz w:val="21"/>
          <w:szCs w:val="21"/>
        </w:rPr>
      </w:pPr>
      <w:r>
        <w:rPr>
          <w:rFonts w:cs="Tahoma" w:ascii="Tahoma" w:hAnsi="Tahoma"/>
          <w:b/>
          <w:bCs/>
          <w:color w:val="000000"/>
          <w:sz w:val="21"/>
          <w:szCs w:val="21"/>
        </w:rPr>
        <w:t xml:space="preserve">c. Oświadczenie sankcyjne - </w:t>
      </w:r>
      <w:r>
        <w:rPr>
          <w:rFonts w:cs="Tahoma" w:ascii="Tahoma" w:hAnsi="Tahoma"/>
          <w:b w:val="false"/>
          <w:bCs w:val="false"/>
          <w:color w:val="000000"/>
          <w:sz w:val="21"/>
          <w:szCs w:val="21"/>
        </w:rPr>
        <w:t>Załącznik nr 6 do SWZ</w:t>
      </w:r>
    </w:p>
    <w:p>
      <w:pPr>
        <w:pStyle w:val="Normal"/>
        <w:numPr>
          <w:ilvl w:val="0"/>
          <w:numId w:val="0"/>
        </w:numPr>
        <w:spacing w:lineRule="auto" w:line="240" w:before="0" w:after="0"/>
        <w:ind w:hanging="0" w:left="0" w:right="20"/>
        <w:jc w:val="both"/>
        <w:rPr>
          <w:rFonts w:ascii="Tahoma" w:hAnsi="Tahoma" w:cs="Tahoma"/>
          <w:b/>
          <w:bCs/>
          <w:sz w:val="21"/>
          <w:szCs w:val="21"/>
        </w:rPr>
      </w:pPr>
      <w:r>
        <w:rPr>
          <w:rFonts w:cs="Tahoma" w:ascii="Tahoma" w:hAnsi="Tahoma"/>
          <w:b/>
          <w:bCs/>
          <w:sz w:val="21"/>
          <w:szCs w:val="21"/>
        </w:rPr>
        <w:t>d. Wypełniony FORMULARZ ARKUSZ CENOWY-„</w:t>
      </w:r>
      <w:bookmarkStart w:id="4" w:name="_Hlk884703812"/>
      <w:r>
        <w:rPr>
          <w:rFonts w:cs="Tahoma" w:ascii="Tahoma" w:hAnsi="Tahoma"/>
          <w:b/>
          <w:bCs/>
          <w:color w:val="00000A"/>
          <w:sz w:val="21"/>
          <w:szCs w:val="21"/>
          <w:lang w:val="pl-PL" w:bidi="ar-SA"/>
        </w:rPr>
        <w:t>OPIS PRZEDMIOTU ZAMÓWIENIA – FORMULARZ PARAMETRÓW TECHNICZNYCH</w:t>
      </w:r>
      <w:bookmarkEnd w:id="4"/>
      <w:r>
        <w:rPr>
          <w:rFonts w:cs="Tahoma" w:ascii="Tahoma" w:hAnsi="Tahoma"/>
          <w:b/>
          <w:bCs/>
          <w:color w:val="00000A"/>
          <w:sz w:val="21"/>
          <w:szCs w:val="21"/>
          <w:lang w:val="pl-PL" w:bidi="ar-SA"/>
        </w:rPr>
        <w:t xml:space="preserve">- </w:t>
      </w:r>
      <w:r>
        <w:rPr>
          <w:rFonts w:cs="Tahoma" w:ascii="Tahoma" w:hAnsi="Tahoma"/>
          <w:b/>
          <w:bCs/>
          <w:color w:val="00000A"/>
          <w:sz w:val="21"/>
          <w:szCs w:val="21"/>
        </w:rPr>
        <w:t>MINIMALNE WYMAGANE PARAMETRY I FUNKCJE</w:t>
      </w:r>
      <w:r>
        <w:rPr>
          <w:rFonts w:cs="Tahoma" w:ascii="Tahoma" w:hAnsi="Tahoma"/>
          <w:b/>
          <w:bCs/>
          <w:sz w:val="21"/>
          <w:szCs w:val="21"/>
        </w:rPr>
        <w:t xml:space="preserve">” </w:t>
      </w:r>
      <w:r>
        <w:rPr>
          <w:rFonts w:cs="Tahoma" w:ascii="Tahoma" w:hAnsi="Tahoma"/>
          <w:sz w:val="21"/>
          <w:szCs w:val="21"/>
        </w:rPr>
        <w:t xml:space="preserve"> – </w:t>
      </w:r>
      <w:r>
        <w:rPr>
          <w:rFonts w:cs="Tahoma" w:ascii="Tahoma" w:hAnsi="Tahoma"/>
          <w:b/>
          <w:bCs/>
          <w:sz w:val="21"/>
          <w:szCs w:val="21"/>
        </w:rPr>
        <w:t>Załączniki nr 1.1 do SWZ( pakiety od 1 do 2)</w:t>
      </w:r>
    </w:p>
    <w:p>
      <w:pPr>
        <w:pStyle w:val="Normal"/>
        <w:spacing w:before="0" w:after="0"/>
        <w:ind w:right="20"/>
        <w:jc w:val="both"/>
        <w:rPr>
          <w:rFonts w:ascii="Tahoma" w:hAnsi="Tahoma" w:cs="Tahoma"/>
          <w:sz w:val="21"/>
          <w:szCs w:val="21"/>
        </w:rPr>
      </w:pPr>
      <w:r>
        <w:rPr>
          <w:rFonts w:cs="Tahoma" w:ascii="Tahoma" w:hAnsi="Tahoma"/>
          <w:b/>
          <w:bCs/>
          <w:sz w:val="21"/>
          <w:szCs w:val="21"/>
        </w:rPr>
        <w:t>UWAGA:</w:t>
      </w:r>
      <w:r>
        <w:rPr>
          <w:rFonts w:cs="Tahoma" w:ascii="Tahoma" w:hAnsi="Tahoma"/>
          <w:sz w:val="21"/>
          <w:szCs w:val="21"/>
        </w:rPr>
        <w:t xml:space="preserve"> Wykonawca składając ofertę na wybrany pakiet  zobowiązany jest do wypełnienia wszystkich pól i pozycji   dotyczących wybranego pakietu „FORMULARZA – </w:t>
      </w:r>
      <w:r>
        <w:rPr>
          <w:rFonts w:cs="Tahoma" w:ascii="Tahoma" w:hAnsi="Tahoma"/>
          <w:b/>
          <w:bCs/>
          <w:sz w:val="21"/>
          <w:szCs w:val="21"/>
        </w:rPr>
        <w:t xml:space="preserve">ARKUSZ CENOWY- </w:t>
      </w:r>
      <w:bookmarkStart w:id="5" w:name="_Hlk884703813"/>
      <w:r>
        <w:rPr>
          <w:rFonts w:cs="Tahoma" w:ascii="Tahoma" w:hAnsi="Tahoma"/>
          <w:b/>
          <w:bCs/>
          <w:color w:val="00000A"/>
          <w:sz w:val="21"/>
          <w:szCs w:val="21"/>
          <w:lang w:val="pl-PL" w:bidi="ar-SA"/>
        </w:rPr>
        <w:t>OPIS PRZEDMIOTU ZAMÓWIENIA – FORMULARZ PARAMETRÓW TECHNICZNYCH</w:t>
      </w:r>
      <w:bookmarkEnd w:id="5"/>
      <w:r>
        <w:rPr>
          <w:rFonts w:cs="Tahoma" w:ascii="Tahoma" w:hAnsi="Tahoma"/>
          <w:b/>
          <w:bCs/>
          <w:color w:val="00000A"/>
          <w:sz w:val="21"/>
          <w:szCs w:val="21"/>
          <w:lang w:val="pl-PL" w:bidi="ar-SA"/>
        </w:rPr>
        <w:t xml:space="preserve">- </w:t>
      </w:r>
      <w:r>
        <w:rPr>
          <w:rFonts w:cs="Tahoma" w:ascii="Tahoma" w:hAnsi="Tahoma"/>
          <w:b/>
          <w:bCs/>
          <w:color w:val="00000A"/>
          <w:sz w:val="21"/>
          <w:szCs w:val="21"/>
        </w:rPr>
        <w:t>MINIMALNE WYMAGANE PARAMETRY I FUNKCJE</w:t>
      </w:r>
      <w:r>
        <w:rPr>
          <w:rFonts w:cs="Tahoma" w:ascii="Tahoma" w:hAnsi="Tahoma"/>
          <w:sz w:val="21"/>
          <w:szCs w:val="21"/>
        </w:rPr>
        <w:t>”   W przypadku niewypełnionych wszystkich  pozycji  dotyczących pakietu na który wykonawca składa ofertę, oferta nie podlega uzupełnieniu i  zostanie odrzucona.</w:t>
      </w:r>
    </w:p>
    <w:p>
      <w:pPr>
        <w:pStyle w:val="Normal"/>
        <w:widowControl/>
        <w:suppressAutoHyphens w:val="true"/>
        <w:overflowPunct w:val="false"/>
        <w:bidi w:val="0"/>
        <w:spacing w:lineRule="auto" w:line="252" w:before="0" w:after="0"/>
        <w:ind w:right="57"/>
        <w:jc w:val="both"/>
        <w:rPr>
          <w:rFonts w:ascii="Tahoma" w:hAnsi="Tahoma" w:cs="Tahoma"/>
          <w:b/>
          <w:bCs/>
          <w:sz w:val="21"/>
          <w:szCs w:val="21"/>
        </w:rPr>
      </w:pPr>
      <w:r>
        <w:rPr>
          <w:rFonts w:cs="Tahoma" w:ascii="Tahoma" w:hAnsi="Tahoma"/>
          <w:sz w:val="21"/>
          <w:szCs w:val="21"/>
        </w:rPr>
        <w:t xml:space="preserve">W przypadku składania ofert na poszczególne pakiety  do oferty należy dołączyć tylko te druki Formularza </w:t>
      </w:r>
      <w:r>
        <w:rPr>
          <w:rFonts w:cs="Tahoma" w:ascii="Tahoma" w:hAnsi="Tahoma"/>
          <w:b/>
          <w:bCs/>
          <w:sz w:val="21"/>
          <w:szCs w:val="21"/>
        </w:rPr>
        <w:t xml:space="preserve">ARKUSZ CENOWY - </w:t>
      </w:r>
      <w:bookmarkStart w:id="6" w:name="_Hlk884703814"/>
      <w:r>
        <w:rPr>
          <w:rFonts w:cs="Tahoma" w:ascii="Tahoma" w:hAnsi="Tahoma"/>
          <w:b/>
          <w:bCs/>
          <w:color w:val="00000A"/>
          <w:sz w:val="21"/>
          <w:szCs w:val="21"/>
          <w:lang w:val="pl-PL" w:bidi="ar-SA"/>
        </w:rPr>
        <w:t>OPIS PRZEDMIOTU ZAMÓWIENIA – FORMULARZ PARAMETRÓW TECHNICZNYCH</w:t>
      </w:r>
      <w:bookmarkEnd w:id="6"/>
      <w:r>
        <w:rPr>
          <w:rFonts w:cs="Tahoma" w:ascii="Tahoma" w:hAnsi="Tahoma"/>
          <w:b/>
          <w:bCs/>
          <w:color w:val="00000A"/>
          <w:sz w:val="21"/>
          <w:szCs w:val="21"/>
          <w:lang w:val="pl-PL" w:bidi="ar-SA"/>
        </w:rPr>
        <w:t xml:space="preserve">- </w:t>
      </w:r>
      <w:r>
        <w:rPr>
          <w:rFonts w:cs="Tahoma" w:ascii="Tahoma" w:hAnsi="Tahoma"/>
          <w:b/>
          <w:bCs/>
          <w:color w:val="00000A"/>
          <w:sz w:val="21"/>
          <w:szCs w:val="21"/>
        </w:rPr>
        <w:t xml:space="preserve">MINIMALNE WYMAGANE PARAMETRY I FUNKCJE </w:t>
      </w:r>
      <w:r>
        <w:rPr>
          <w:rFonts w:cs="Tahoma" w:ascii="Tahoma" w:hAnsi="Tahoma"/>
          <w:sz w:val="21"/>
          <w:szCs w:val="21"/>
        </w:rPr>
        <w:t>” (pakietu), na które składa ofertę dany Wykonawca. Nie dopuszcza się wprowadzania przez wykonawcę jakichkolwiek zmian merytorycznych w treści wzorów załączonych dokumentów. Jeżeli dojdzie do modyfikacji treści SWZ każdy Wykonawca musi zmienić opis zamówienia zgodnie z modyfikacją specyfikacji dotyczącą przedmiotu zamówienia.</w:t>
      </w:r>
    </w:p>
    <w:p>
      <w:pPr>
        <w:pStyle w:val="Normal"/>
        <w:widowControl/>
        <w:suppressAutoHyphens w:val="true"/>
        <w:overflowPunct w:val="false"/>
        <w:bidi w:val="0"/>
        <w:spacing w:lineRule="auto" w:line="240" w:before="0" w:after="0"/>
        <w:ind w:right="57"/>
        <w:jc w:val="both"/>
        <w:rPr>
          <w:rFonts w:ascii="Tahoma" w:hAnsi="Tahoma"/>
          <w:b/>
          <w:bCs/>
          <w:sz w:val="21"/>
          <w:szCs w:val="21"/>
          <w:u w:val="single"/>
        </w:rPr>
      </w:pPr>
      <w:r>
        <w:rPr>
          <w:rFonts w:cs="Tahoma" w:ascii="Tahoma" w:hAnsi="Tahoma"/>
          <w:b/>
          <w:bCs/>
          <w:sz w:val="21"/>
          <w:szCs w:val="21"/>
          <w:u w:val="single"/>
        </w:rPr>
        <w:t xml:space="preserve">e. </w:t>
      </w:r>
      <w:r>
        <w:rPr>
          <w:rFonts w:ascii="Tahoma" w:hAnsi="Tahoma"/>
          <w:b/>
          <w:bCs/>
          <w:sz w:val="21"/>
          <w:szCs w:val="21"/>
          <w:u w:val="single"/>
        </w:rPr>
        <w:t>Zamawiający na potwierdzenie, że oferowane dostawy spełniają określone przez Zamawiającego wymagania, żąda złożenia wraz z ofertą przedmiotowych środków dowodowych:</w:t>
      </w:r>
    </w:p>
    <w:p>
      <w:pPr>
        <w:pStyle w:val="Normal"/>
        <w:spacing w:lineRule="auto" w:line="240" w:before="0" w:after="0"/>
        <w:jc w:val="left"/>
        <w:rPr>
          <w:rFonts w:ascii="Tahoma" w:hAnsi="Tahoma"/>
          <w:sz w:val="21"/>
          <w:szCs w:val="21"/>
        </w:rPr>
      </w:pPr>
      <w:r>
        <w:rPr>
          <w:rFonts w:ascii="Tahoma" w:hAnsi="Tahoma"/>
          <w:sz w:val="21"/>
          <w:szCs w:val="21"/>
        </w:rPr>
        <w:t>1) oświadczenie Wykonawcy, że posiada autoryzacje producenta w zakresie sprzedaży i dystrybucji</w:t>
      </w:r>
    </w:p>
    <w:p>
      <w:pPr>
        <w:pStyle w:val="Normal"/>
        <w:spacing w:lineRule="auto" w:line="240"/>
        <w:jc w:val="left"/>
        <w:rPr>
          <w:rFonts w:ascii="Tahoma" w:hAnsi="Tahoma"/>
          <w:sz w:val="21"/>
          <w:szCs w:val="21"/>
        </w:rPr>
      </w:pPr>
      <w:r>
        <w:rPr>
          <w:rFonts w:ascii="Tahoma" w:hAnsi="Tahoma"/>
          <w:sz w:val="21"/>
          <w:szCs w:val="21"/>
        </w:rPr>
        <w:t>oferowanego rozwiązania oraz świadczenia usługi wsparcia technicznego rozwiązania,</w:t>
      </w:r>
    </w:p>
    <w:p>
      <w:pPr>
        <w:pStyle w:val="Normal"/>
        <w:spacing w:lineRule="auto" w:line="240" w:before="0" w:after="0"/>
        <w:jc w:val="left"/>
        <w:rPr>
          <w:rFonts w:ascii="Tahoma" w:hAnsi="Tahoma"/>
          <w:sz w:val="21"/>
          <w:szCs w:val="21"/>
        </w:rPr>
      </w:pPr>
      <w:r>
        <w:rPr>
          <w:rFonts w:ascii="Tahoma" w:hAnsi="Tahoma"/>
          <w:sz w:val="21"/>
          <w:szCs w:val="21"/>
        </w:rPr>
        <w:t>2) oświadczenie Wykonawcy potwierdzające możliwość integracji oferowanych modułów z</w:t>
      </w:r>
    </w:p>
    <w:p>
      <w:pPr>
        <w:pStyle w:val="Normal"/>
        <w:spacing w:lineRule="auto" w:line="240"/>
        <w:jc w:val="left"/>
        <w:rPr>
          <w:rFonts w:ascii="Tahoma" w:hAnsi="Tahoma"/>
          <w:sz w:val="21"/>
          <w:szCs w:val="21"/>
        </w:rPr>
      </w:pPr>
      <w:r>
        <w:rPr>
          <w:rFonts w:ascii="Tahoma" w:hAnsi="Tahoma"/>
          <w:sz w:val="21"/>
          <w:szCs w:val="21"/>
        </w:rPr>
        <w:t xml:space="preserve">użytkowanym przez Zamawiającego systemem HIS (AMMS) i posiadaniu prawa do kodu </w:t>
      </w:r>
      <w:r>
        <w:rPr>
          <w:rFonts w:cs="Tahoma" w:ascii="Tahoma" w:hAnsi="Tahoma"/>
          <w:b w:val="false"/>
          <w:bCs w:val="false"/>
          <w:sz w:val="21"/>
          <w:szCs w:val="21"/>
          <w:u w:val="none"/>
        </w:rPr>
        <w:t>źródłowego.</w:t>
      </w:r>
    </w:p>
    <w:p>
      <w:pPr>
        <w:pStyle w:val="Normal"/>
        <w:numPr>
          <w:ilvl w:val="0"/>
          <w:numId w:val="0"/>
        </w:numPr>
        <w:spacing w:before="0" w:after="0"/>
        <w:ind w:hanging="0" w:left="0" w:right="20"/>
        <w:jc w:val="both"/>
        <w:rPr>
          <w:rFonts w:ascii="Tahoma" w:hAnsi="Tahoma" w:cs="Tahoma"/>
          <w:b/>
          <w:bCs/>
          <w:sz w:val="21"/>
          <w:szCs w:val="21"/>
        </w:rPr>
      </w:pPr>
      <w:r>
        <w:rPr>
          <w:rFonts w:cs="Tahoma" w:ascii="Tahoma" w:hAnsi="Tahoma"/>
          <w:b/>
          <w:bCs/>
          <w:sz w:val="21"/>
          <w:szCs w:val="21"/>
        </w:rPr>
        <w:t>f. oświadczenie w formie Jednolitego Europejskiego Dokumentu Zamówienia (JEDZ );</w:t>
      </w:r>
    </w:p>
    <w:p>
      <w:pPr>
        <w:pStyle w:val="Normal"/>
        <w:numPr>
          <w:ilvl w:val="0"/>
          <w:numId w:val="0"/>
        </w:numPr>
        <w:spacing w:before="0" w:after="0"/>
        <w:ind w:hanging="0" w:left="0" w:right="20"/>
        <w:jc w:val="both"/>
        <w:rPr>
          <w:rFonts w:ascii="Tahoma" w:hAnsi="Tahoma" w:cs="Tahoma"/>
          <w:b/>
          <w:bCs/>
          <w:sz w:val="21"/>
          <w:szCs w:val="21"/>
        </w:rPr>
      </w:pPr>
      <w:r>
        <w:rPr>
          <w:rFonts w:cs="Tahoma" w:ascii="Tahoma" w:hAnsi="Tahoma"/>
          <w:b/>
          <w:bCs/>
          <w:sz w:val="21"/>
          <w:szCs w:val="21"/>
        </w:rPr>
        <w:t>g. zobowiązanie innego podmiotu oraz oświadczenie w formie Jednolitego Europejskiego Dokumentu Zamówienia  (jeżeli dotyczy).;</w:t>
      </w:r>
    </w:p>
    <w:p>
      <w:pPr>
        <w:pStyle w:val="Normal"/>
        <w:numPr>
          <w:ilvl w:val="0"/>
          <w:numId w:val="0"/>
        </w:numPr>
        <w:spacing w:before="0" w:after="0"/>
        <w:ind w:hanging="0" w:left="0" w:right="20"/>
        <w:jc w:val="both"/>
        <w:rPr>
          <w:rFonts w:ascii="Tahoma" w:hAnsi="Tahoma" w:cs="Tahoma"/>
          <w:b/>
          <w:bCs/>
          <w:sz w:val="21"/>
          <w:szCs w:val="21"/>
        </w:rPr>
      </w:pPr>
      <w:r>
        <w:rPr>
          <w:rFonts w:cs="Tahoma" w:ascii="Tahoma" w:hAnsi="Tahoma"/>
          <w:b/>
          <w:bCs/>
          <w:sz w:val="21"/>
          <w:szCs w:val="21"/>
        </w:rPr>
        <w:t xml:space="preserve">h. dokumenty, z których wynika prawo do podpisania oferty, np. odpowiednie pełnomocnictwa (jeżeli dotyczy). </w:t>
      </w:r>
    </w:p>
    <w:p>
      <w:pPr>
        <w:pStyle w:val="pkt"/>
        <w:numPr>
          <w:ilvl w:val="0"/>
          <w:numId w:val="0"/>
        </w:numPr>
        <w:spacing w:before="0" w:after="0"/>
        <w:ind w:hanging="0" w:left="0" w:right="0"/>
        <w:jc w:val="both"/>
        <w:rPr>
          <w:rFonts w:ascii="Tahoma" w:hAnsi="Tahoma" w:cs="Tahoma"/>
          <w:sz w:val="21"/>
          <w:szCs w:val="21"/>
        </w:rPr>
      </w:pPr>
      <w:r>
        <w:rPr>
          <w:rFonts w:cs="Tahoma" w:ascii="Tahoma" w:hAnsi="Tahoma"/>
          <w:b/>
          <w:bCs/>
          <w:sz w:val="21"/>
          <w:szCs w:val="21"/>
        </w:rPr>
        <w:t>3. Oferta oraz pozostałe oświadczenia i dokumenty, dla których Zamawiający określił wzory w formie formularzy</w:t>
      </w:r>
      <w:r>
        <w:rPr>
          <w:rFonts w:cs="Tahoma" w:ascii="Tahoma" w:hAnsi="Tahoma"/>
          <w:sz w:val="21"/>
          <w:szCs w:val="21"/>
        </w:rPr>
        <w:t xml:space="preserve"> zamieszczonych w załącznikach do SWZ, powinny być sporządzone zgodnie z tymi wzorami.</w:t>
      </w:r>
    </w:p>
    <w:p>
      <w:pPr>
        <w:pStyle w:val="pkt"/>
        <w:numPr>
          <w:ilvl w:val="0"/>
          <w:numId w:val="0"/>
        </w:numPr>
        <w:spacing w:before="0" w:after="0"/>
        <w:ind w:hanging="0" w:left="0" w:right="0"/>
        <w:jc w:val="both"/>
        <w:rPr>
          <w:rFonts w:ascii="Tahoma" w:hAnsi="Tahoma" w:cs="Tahoma"/>
          <w:b/>
          <w:sz w:val="21"/>
          <w:szCs w:val="21"/>
        </w:rPr>
      </w:pPr>
      <w:r>
        <w:rPr>
          <w:rFonts w:cs="Tahoma" w:ascii="Tahoma" w:hAnsi="Tahoma"/>
          <w:sz w:val="21"/>
          <w:szCs w:val="21"/>
        </w:rPr>
        <w:t>4. W przypadku gdy oferta nie została podpisana przez osobę uprawnioną do reprezentacji Wykonawcy określoną w odpowiednim rejestrze lub innym dokumencie właściwym dla danej formy organizacyjnej Wykonawcy, do oferty należy dołączyć dokument pełnomocnictwa, złożony w postaci elektronicznej, opatrzony kwalifikowanym podpisem elektronicznym lub elektronicznej kopii, poświadczonej kwalifikowanym podpisem elektronicznym przez notariusza.</w:t>
      </w:r>
    </w:p>
    <w:p>
      <w:pPr>
        <w:pStyle w:val="pkt"/>
        <w:numPr>
          <w:ilvl w:val="0"/>
          <w:numId w:val="0"/>
        </w:numPr>
        <w:spacing w:before="0" w:after="0"/>
        <w:ind w:hanging="0" w:left="0" w:right="0"/>
        <w:jc w:val="both"/>
        <w:rPr>
          <w:rFonts w:ascii="Tahoma" w:hAnsi="Tahoma" w:cs="Tahoma"/>
          <w:sz w:val="21"/>
          <w:szCs w:val="21"/>
        </w:rPr>
      </w:pPr>
      <w:r>
        <w:rPr>
          <w:rFonts w:cs="Tahoma" w:ascii="Tahoma" w:hAnsi="Tahoma"/>
          <w:b/>
          <w:sz w:val="21"/>
          <w:szCs w:val="21"/>
        </w:rPr>
        <w:t>5. Ofertę, w tym Jednolity Europejski Dokument Zamówienia (JEDZ), sporządza się, pod rygorem nieważności, w formie elektronicznej (podpisanej kwalifikowanym podpisem elektronicznym).</w:t>
      </w:r>
    </w:p>
    <w:p>
      <w:pPr>
        <w:pStyle w:val="pkt"/>
        <w:numPr>
          <w:ilvl w:val="0"/>
          <w:numId w:val="0"/>
        </w:numPr>
        <w:spacing w:before="0" w:after="0"/>
        <w:ind w:hanging="0" w:left="0" w:right="0"/>
        <w:jc w:val="both"/>
        <w:rPr>
          <w:rFonts w:ascii="Tahoma" w:hAnsi="Tahoma" w:cs="Tahoma"/>
          <w:sz w:val="21"/>
          <w:szCs w:val="21"/>
        </w:rPr>
      </w:pPr>
      <w:r>
        <w:rPr>
          <w:rFonts w:cs="Tahoma" w:ascii="Tahoma" w:hAnsi="Tahoma"/>
          <w:sz w:val="21"/>
          <w:szCs w:val="21"/>
        </w:rPr>
        <w:t>6. Wszystkie koszty związane z uczestnictwem w postępowaniu, w szczególności z przygotowaniem i złożeniem ofert ponosi Wykonawca składający ofertę. Zamawiający nie przewiduje zwrotu kosztów udziału w postępowaniu.</w:t>
      </w:r>
    </w:p>
    <w:p>
      <w:pPr>
        <w:pStyle w:val="pkt"/>
        <w:numPr>
          <w:ilvl w:val="0"/>
          <w:numId w:val="0"/>
        </w:numPr>
        <w:spacing w:before="0" w:after="0"/>
        <w:ind w:hanging="0" w:left="0" w:right="0"/>
        <w:jc w:val="both"/>
        <w:rPr>
          <w:rFonts w:ascii="Tahoma" w:hAnsi="Tahoma" w:eastAsia="Calibri" w:cs="Tahoma"/>
          <w:b w:val="false"/>
          <w:bCs w:val="false"/>
          <w:color w:val="000000"/>
          <w:sz w:val="21"/>
          <w:szCs w:val="21"/>
        </w:rPr>
      </w:pPr>
      <w:r>
        <w:rPr>
          <w:rFonts w:cs="Tahoma" w:ascii="Tahoma" w:hAnsi="Tahoma"/>
          <w:sz w:val="21"/>
          <w:szCs w:val="21"/>
        </w:rPr>
        <w:t>7. Dokumenty lub oświadczenia, o których mowa w rozporządzeniu w sprawie dokumentów, sporządzone w języku obcym są składane wraz z tłumaczeniem na język polski.</w:t>
      </w:r>
    </w:p>
    <w:p>
      <w:pPr>
        <w:pStyle w:val="Normal"/>
        <w:widowControl w:val="false"/>
        <w:numPr>
          <w:ilvl w:val="0"/>
          <w:numId w:val="0"/>
        </w:numPr>
        <w:spacing w:lineRule="atLeast" w:line="100"/>
        <w:ind w:hanging="0" w:left="0" w:right="0"/>
        <w:jc w:val="both"/>
        <w:rPr>
          <w:rFonts w:eastAsia="Calibri" w:cs="Tahoma"/>
          <w:b/>
          <w:bCs/>
          <w:color w:val="000000"/>
          <w:sz w:val="20"/>
          <w:szCs w:val="20"/>
          <w:lang w:val="pl-PL" w:bidi="ar-SA"/>
        </w:rPr>
      </w:pPr>
      <w:r>
        <w:rPr>
          <w:rFonts w:eastAsia="Calibri" w:cs="Tahoma" w:ascii="Tahoma" w:hAnsi="Tahoma"/>
          <w:b w:val="false"/>
          <w:bCs w:val="false"/>
          <w:color w:val="000000"/>
          <w:sz w:val="21"/>
          <w:szCs w:val="21"/>
        </w:rPr>
        <w:t>8. Zamawiający przewiduje uzupełnienie przedmiotowych środków dowodowych – dotyczy tylko sytuacji</w:t>
      </w:r>
      <w:r>
        <w:rPr>
          <w:rFonts w:eastAsia="Calibri" w:cs="Tahoma" w:ascii="Tahoma" w:hAnsi="Tahoma"/>
          <w:b w:val="false"/>
          <w:bCs w:val="false"/>
          <w:color w:val="000000"/>
          <w:sz w:val="21"/>
          <w:szCs w:val="21"/>
          <w:lang w:val="pl-PL" w:bidi="ar-SA"/>
        </w:rPr>
        <w:t xml:space="preserve"> jeżeli wykonawca powoła się na rozwiązania równoważne</w:t>
      </w:r>
    </w:p>
    <w:tbl>
      <w:tblPr>
        <w:tblW w:w="9975" w:type="dxa"/>
        <w:jc w:val="left"/>
        <w:tblInd w:w="55" w:type="dxa"/>
        <w:tblLayout w:type="fixed"/>
        <w:tblCellMar>
          <w:top w:w="55" w:type="dxa"/>
          <w:left w:w="55" w:type="dxa"/>
          <w:bottom w:w="55" w:type="dxa"/>
          <w:right w:w="55" w:type="dxa"/>
        </w:tblCellMar>
      </w:tblPr>
      <w:tblGrid>
        <w:gridCol w:w="9975"/>
      </w:tblGrid>
      <w:tr>
        <w:trPr/>
        <w:tc>
          <w:tcPr>
            <w:tcW w:w="997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XIV. TERMIN SKŁADANIA OFERT</w:t>
            </w:r>
          </w:p>
        </w:tc>
      </w:tr>
    </w:tbl>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 Wykonawca składa ofertę poprzez Platformę e-zamówienia, zgodnie z wymaganiami określonymi w rozdziale IX. I XIII</w:t>
      </w:r>
    </w:p>
    <w:p>
      <w:pPr>
        <w:pStyle w:val="Tekstpodstawowy2"/>
        <w:widowControl w:val="false"/>
        <w:spacing w:lineRule="atLeast" w:line="100" w:before="0" w:after="0"/>
        <w:ind w:right="30"/>
        <w:jc w:val="both"/>
        <w:rPr>
          <w:rFonts w:ascii="Tahoma" w:hAnsi="Tahoma" w:eastAsia="Calibri" w:cs="Tahoma"/>
          <w:b/>
          <w:bCs/>
          <w:color w:val="FF0000"/>
          <w:sz w:val="21"/>
          <w:szCs w:val="21"/>
          <w:shd w:fill="FFFF00" w:val="clear"/>
        </w:rPr>
      </w:pPr>
      <w:r>
        <w:rPr>
          <w:rFonts w:eastAsia="Calibri" w:cs="Tahoma"/>
          <w:b w:val="false"/>
          <w:bCs w:val="false"/>
          <w:color w:val="000000"/>
          <w:sz w:val="21"/>
          <w:szCs w:val="21"/>
        </w:rPr>
        <w:t>2. Ofertę wraz z wymaganymi załącznikami należy złożyć w terminie do dnia:</w:t>
      </w:r>
    </w:p>
    <w:p>
      <w:pPr>
        <w:pStyle w:val="Tekstpodstawowy2"/>
        <w:widowControl w:val="false"/>
        <w:spacing w:lineRule="atLeast" w:line="100" w:before="0" w:after="0"/>
        <w:ind w:right="30"/>
        <w:jc w:val="center"/>
        <w:rPr>
          <w:color w:val="000000"/>
        </w:rPr>
      </w:pPr>
      <w:r>
        <w:rPr>
          <w:rFonts w:eastAsia="Calibri" w:cs="Tahoma"/>
          <w:b/>
          <w:bCs/>
          <w:color w:val="000000"/>
          <w:sz w:val="21"/>
          <w:szCs w:val="21"/>
          <w:shd w:fill="FFFF00" w:val="clear"/>
        </w:rPr>
        <w:t>30.04.2026 do godz. 10:00.</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3. Wykonawca może złożyć tylko jedną ofertę.</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 Treść oferty musi odpowiadać treści SWZ</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5. Zamawiający odrzuci ofertę złożoną po terminie składania ofert.</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6. Oferta może być złożona tylko do upływu terminu składania ofert.</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rPr>
        <w:t>7.  Wykonawca może przed upływem terminu składania ofert wycofać ofertę. Wykonawca wycofuje ofertę w zakładce „Oferty/wnioski” używając przycisku „Wycofaj ofertę”.</w:t>
      </w:r>
    </w:p>
    <w:p>
      <w:pPr>
        <w:pStyle w:val="Tekstpodstawowy2"/>
        <w:widowControl w:val="false"/>
        <w:spacing w:lineRule="atLeast" w:line="100" w:before="0" w:after="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bidi="ar-SA"/>
        </w:rPr>
        <w:t>8. Wykonawca po upływie terminu składania ofert nie może wycofać złożonej oferty.</w:t>
      </w:r>
    </w:p>
    <w:tbl>
      <w:tblPr>
        <w:tblW w:w="9975" w:type="dxa"/>
        <w:jc w:val="left"/>
        <w:tblInd w:w="55" w:type="dxa"/>
        <w:tblLayout w:type="fixed"/>
        <w:tblCellMar>
          <w:top w:w="55" w:type="dxa"/>
          <w:left w:w="55" w:type="dxa"/>
          <w:bottom w:w="55" w:type="dxa"/>
          <w:right w:w="55" w:type="dxa"/>
        </w:tblCellMar>
      </w:tblPr>
      <w:tblGrid>
        <w:gridCol w:w="9975"/>
      </w:tblGrid>
      <w:tr>
        <w:trPr/>
        <w:tc>
          <w:tcPr>
            <w:tcW w:w="997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XV. TERMIN OTWARCIA OFERT</w:t>
            </w:r>
          </w:p>
        </w:tc>
      </w:tr>
    </w:tbl>
    <w:p>
      <w:pPr>
        <w:pStyle w:val="Tekstpodstawowy2"/>
        <w:widowControl w:val="false"/>
        <w:spacing w:lineRule="atLeast" w:line="100" w:before="0" w:after="46"/>
        <w:ind w:right="30"/>
        <w:jc w:val="both"/>
        <w:rPr/>
      </w:pPr>
      <w:r>
        <w:rPr/>
      </w:r>
    </w:p>
    <w:p>
      <w:pPr>
        <w:pStyle w:val="Tekstpodstawowy2"/>
        <w:widowControl w:val="false"/>
        <w:spacing w:lineRule="atLeast" w:line="100" w:before="0" w:after="46"/>
        <w:ind w:right="30"/>
        <w:jc w:val="both"/>
        <w:rPr>
          <w:rFonts w:ascii="Tahoma" w:hAnsi="Tahoma" w:eastAsia="Calibri" w:cs="Tahoma"/>
          <w:b w:val="false"/>
          <w:bCs w:val="false"/>
          <w:i w:val="false"/>
          <w:iCs w:val="false"/>
          <w:color w:val="000000"/>
          <w:sz w:val="21"/>
          <w:szCs w:val="21"/>
        </w:rPr>
      </w:pPr>
      <w:r>
        <w:rPr>
          <w:rFonts w:eastAsia="Calibri" w:cs="Tahoma"/>
          <w:b w:val="false"/>
          <w:bCs w:val="false"/>
          <w:color w:val="000000"/>
          <w:sz w:val="21"/>
          <w:szCs w:val="21"/>
        </w:rPr>
        <w:t>1. Otwarcie ofert nastąpi w</w:t>
      </w:r>
      <w:r>
        <w:rPr>
          <w:rFonts w:eastAsia="Calibri" w:cs="Tahoma"/>
          <w:b/>
          <w:bCs/>
          <w:color w:val="000000"/>
          <w:sz w:val="21"/>
          <w:szCs w:val="21"/>
        </w:rPr>
        <w:t xml:space="preserve"> </w:t>
      </w:r>
      <w:r>
        <w:rPr>
          <w:rFonts w:eastAsia="Calibri" w:cs="Tahoma"/>
          <w:b w:val="false"/>
          <w:bCs w:val="false"/>
          <w:color w:val="000000"/>
          <w:sz w:val="21"/>
          <w:szCs w:val="21"/>
        </w:rPr>
        <w:t>dniu:</w:t>
      </w:r>
      <w:r>
        <w:rPr>
          <w:rFonts w:eastAsia="Calibri" w:cs="Tahoma"/>
          <w:b/>
          <w:bCs/>
          <w:color w:val="000000"/>
          <w:sz w:val="21"/>
          <w:szCs w:val="21"/>
        </w:rPr>
        <w:t xml:space="preserve">       </w:t>
      </w:r>
      <w:r>
        <w:rPr>
          <w:rFonts w:eastAsia="Calibri" w:cs="Tahoma"/>
          <w:b/>
          <w:bCs/>
          <w:color w:val="000000"/>
          <w:sz w:val="21"/>
          <w:szCs w:val="21"/>
          <w:shd w:fill="FFFF00" w:val="clear"/>
        </w:rPr>
        <w:t xml:space="preserve">   30.04.2026 o godz. 10:30</w:t>
      </w:r>
    </w:p>
    <w:p>
      <w:pPr>
        <w:pStyle w:val="Tekstpodstawowy2"/>
        <w:widowControl w:val="false"/>
        <w:spacing w:lineRule="atLeast" w:line="100" w:before="0" w:after="0"/>
        <w:ind w:right="30"/>
        <w:jc w:val="both"/>
        <w:rPr>
          <w:rFonts w:ascii="Tahoma" w:hAnsi="Tahoma" w:eastAsia="Calibri" w:cs="Tahoma"/>
          <w:b w:val="false"/>
          <w:bCs w:val="false"/>
          <w:i w:val="false"/>
          <w:iCs w:val="false"/>
          <w:color w:val="000000"/>
          <w:sz w:val="21"/>
          <w:szCs w:val="21"/>
        </w:rPr>
      </w:pPr>
      <w:r>
        <w:rPr>
          <w:rFonts w:eastAsia="Calibri" w:cs="Tahoma"/>
          <w:b w:val="false"/>
          <w:bCs w:val="false"/>
          <w:i w:val="false"/>
          <w:iCs w:val="false"/>
          <w:color w:val="000000"/>
          <w:sz w:val="21"/>
          <w:szCs w:val="21"/>
        </w:rPr>
        <w:t>2. Otwarcie ofert odbywa się, bez udziału publiczności. Zamawiający nie przewiduję transmisji ani bezpośredniego udziału zainteresowanych ( wykonawców) w otwarciu ofert.</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i w:val="false"/>
          <w:iCs w:val="false"/>
          <w:color w:val="000000"/>
          <w:sz w:val="21"/>
          <w:szCs w:val="21"/>
        </w:rPr>
        <w:t xml:space="preserve">3. Zamawiający, najpóźniej przed otwarciem ofert, udostępnia na stronie internetowej prowadzonego </w:t>
      </w:r>
      <w:r>
        <w:rPr>
          <w:rFonts w:eastAsia="Calibri" w:cs="Tahoma"/>
          <w:b w:val="false"/>
          <w:bCs w:val="false"/>
          <w:color w:val="000000"/>
          <w:sz w:val="21"/>
          <w:szCs w:val="21"/>
        </w:rPr>
        <w:t>postępowania informację o kwocie, jaką zamierza przeznaczyć na sfinansowanie zamówienia.</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 Zamawiający, niezwłocznie po otwarciu ofert, udostępnia na stronie internetowej prowadzonego postępowania informacje o:</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4.1. nazwach albo imionach i nazwiskach oraz siedzibach lub miejscach prowadzonej działalności gospodarczej albo miejscach zamieszkania wykonawców, których oferty zostały otwarte;</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4.2. cenach lub kosztach zawartych w ofertach.</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eastAsia="zh-CN" w:bidi="ar-SA"/>
        </w:rPr>
      </w:pPr>
      <w:r>
        <w:rPr>
          <w:rFonts w:eastAsia="Calibri" w:cs="Tahoma"/>
          <w:b w:val="false"/>
          <w:bCs w:val="false"/>
          <w:color w:val="000000"/>
          <w:sz w:val="21"/>
          <w:szCs w:val="21"/>
        </w:rPr>
        <w:t>5. W przypadku wystąpienia awarii systemu teleinformatycznego, która spowoduje brak możliwości otwarcia ofert w terminie określonym przez Zamawiającego, otwarcie ofert nastąpi niezwłocznie po usunięciu awarii.</w:t>
      </w:r>
    </w:p>
    <w:p>
      <w:pPr>
        <w:pStyle w:val="Tekstpodstawowy2"/>
        <w:widowControl w:val="false"/>
        <w:spacing w:lineRule="atLeast" w:line="100" w:before="0" w:after="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eastAsia="zh-CN" w:bidi="ar-SA"/>
        </w:rPr>
        <w:t>6. Zamawiający poinformuje o zmianie terminu otwarcia ofert na stronie internetowej prowadzonego postępowania.</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XVI. PODSTAWY WYKLUCZENIA</w:t>
            </w:r>
          </w:p>
        </w:tc>
      </w:tr>
    </w:tbl>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 Z postępowania o udzielenie zamówienia wyklucza się, z zastrzeżeniem art. 110 ust. 2 pzp, Wykonawcę: 1.1. będącego osobą fizyczną, którego prawomocnie skazano za przestępstwo:</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a) udziału w zorganizowanej grupie przestępczej albo związku mającym na celu popełnienie przestępstwa lub przestępstwa skarbowego, o którym mowa w art. 258 Kodeksu karnego,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b) handlu ludźmi, o którym mowa w art. 189a Kodeksu karnego,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c) o którym mowa w art. 228–230a, art. 250a Kodeksu karnego lub w art. 46 lub art. 48 ustawy z dnia 25 czerwca 2010 r. o sporcie,(DZ. U. z 2020r poz. 1133 oraz z 2021 poz 2054) lub w art. 54 ust 1-4 ustzawy z dnia 12 maja 2011 r. O refundacji leków, środków spożywczych specjalnego przeznaczenia żywieniowego oraz wyrobów medycznych ( Dz. U. z 2021 r. Poz 523, 1292,1559,2054),</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d) finansowania przestępstwa o charakterze terrorystycznym, o którym mowa w art. 165a Kodeksu karnego, lub przestępstwo udaremniania lub utrudniania stwierdzenia przestępnego pochodzenia pieniędzy lub ukrywania ich pochodzenia, o którym mowa w art. 299 Kodeksu karnego,</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e) o charakterze terrorystycznym, o którym mowa w art. 115 § 20 Kodeksu karnego, lub mające na celu popełnienie tego przestępstwa,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f) pracy małoletnich cudzoziemców, o którym mowa w art. 9 ust. 2 ustawy z dnia 15 czerwca 2012 r. o skutkach powierzania wykonywania pracy cudzoziemcom przebywającym wbrew przepisom na terytorium Rzeczypospolitej Polskiej (Dz. U. poz. 769),</w:t>
      </w:r>
      <w:r>
        <w:rPr>
          <w:rFonts w:eastAsia="Calibri" w:cs="Tahoma"/>
          <w:b/>
          <w:bCs/>
          <w:color w:val="000000"/>
          <w:sz w:val="21"/>
          <w:szCs w:val="21"/>
        </w:rPr>
        <w:t xml:space="preserve">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g) przeciwko obrotowi gospodarczemu, o których mowa w art. 296–307 Kodeksu karnego, przestępstwo oszustwa, o którym mowa w art. 286 Kodeksu karnego, przestępstwo przeciwko wiarygodności dokumentów, o których mowa w art. 270– 277d Kodeksu karnego, lub przestępstwo skarbowe,</w:t>
      </w:r>
      <w:r>
        <w:rPr>
          <w:rFonts w:eastAsia="Calibri" w:cs="Tahoma"/>
          <w:b/>
          <w:bCs/>
          <w:color w:val="000000"/>
          <w:sz w:val="21"/>
          <w:szCs w:val="21"/>
        </w:rPr>
        <w:t xml:space="preserve">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 xml:space="preserve">h) o którym mowa w art. 9 ust. 1 i 3 lub art. 10 ustawy z dnia 15 czerwca 2012 r. o skutkach powierzania wykonywania pracy cudzoziemcom przebywającym wbrew przepisom na terytorium Rzeczypospolitej Polskiej </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w:t>
      </w:r>
      <w:r>
        <w:rPr>
          <w:rFonts w:eastAsia="Tahoma" w:cs="Tahoma"/>
          <w:b w:val="false"/>
          <w:bCs w:val="false"/>
          <w:color w:val="000000"/>
          <w:sz w:val="21"/>
          <w:szCs w:val="21"/>
        </w:rPr>
        <w:t xml:space="preserve"> </w:t>
      </w:r>
      <w:r>
        <w:rPr>
          <w:rFonts w:eastAsia="Calibri" w:cs="Tahoma"/>
          <w:b w:val="false"/>
          <w:bCs w:val="false"/>
          <w:color w:val="000000"/>
          <w:sz w:val="21"/>
          <w:szCs w:val="21"/>
        </w:rPr>
        <w:t>lub za odpowiedni czyn zabroniony określony w przepisach prawa obcego;</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1.2. jeżeli urzędującego członka jego organu zarządzającego lub nadzorczego, wspólnika spółki w spółce jawnej lub partnerskiej albo komplementariusza w spółce komandytowej lub komandytowo-akcyjnej lub prokurenta prawomocnie skazano za przestępstwo, o którym mowa w pkt 1.1;</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1.3. wobec którego wydano prawomocny wyrok sądu lub ostateczną decyzję administracyjną o zaleganiu z uiszczeniem podatków, opłat lub składek na ubezpieczenie społeczne lub zdrowotne, chyba że wykonawca odpowiednio przed upływem terminu do składania wniosków o dopuszczenie do udziału w postępowaniu albo przed upływem terminu składania ofert dokonał płatności należnych podatków, opłat lub składek na ubezpieczenie społeczne lub zdrowotne wraz z odsetkami lub grzywnami lub zawarł wiążące porozumienie w sprawie spłaty tych należności;</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1.4. wobec którego orzeczono zakaz ubiegania się o zamówienia publiczne;</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1.5. jeżeli Zamawiający może stwierdzić, na podstawie wiarygodnych przesłanek, że Wykonawca zawarł z innymi Wykonawcami porozumienie mające na celu zakłócenie konkurencji, w szczególności jeżeli należąc do tej samej grupy kapitałowej w rozumieniu ustawy z dnia 16 lutego 2007 r. o ochronie konkurencji i konsumentów, złożyli odrębne oferty, oferty częściowe lub wnioski o dopuszczenie do udziału w postępowaniu, chyba że wykażą, że przygotowali te oferty lub wnioski niezależnie od siebie;</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1.6. jeżeli, w przypadkach, o których mowa w art. 85 ust. 1 pzp, doszło do zakłócenia konkurencji wynikającego z wcześniejszego zaangażowania tego Wykonawcy lub podmiotu, który należy z wykonawcą do tej samej grupy kapitałowej w rozumieniu ustawy z dnia 16 lutego 2007 r. o ochronie konkurencji i konsumentów, chyba że spowodowane tym zakłócenie konkurencji może byćwyeliminowane w inny sposób niż przez wykluczenie Wykonawcy z udziału w postępowaniu o udzielenie zamówienia.</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2. na podstawie art. 7 ust. 1 ustawy z dnia 13 kwietnia 2022 r. o szczególnych rozwiązaniach w zakresie przeciwdziałania wspieraniu agresji na Ukrainę oraz służących ochronie bezpieczeństwa narodowego.</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3. na podstawie przewidzianej w art. 5K rozporządzenia 833/2014 dotyczacego środków ograniczajacych w zwiazku z działaniami Rosji destabilizujacymi sytuację na Ukrainię( Dz. Urz. UE nr L 111 z 8.4.2022, str. 1)w brzmieniu nadanym rozporzadzeniem 2022/576</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t>4. Wykonawca może zostać wykluczony przez Zamawiającego na każdym etapie postępowania o udzielenie zamówienia.</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b w:val="false"/>
          <w:bCs w:val="false"/>
          <w:color w:val="000000"/>
          <w:sz w:val="21"/>
          <w:szCs w:val="21"/>
        </w:rPr>
      </w:r>
    </w:p>
    <w:tbl>
      <w:tblPr>
        <w:tblW w:w="9975" w:type="dxa"/>
        <w:jc w:val="left"/>
        <w:tblInd w:w="55" w:type="dxa"/>
        <w:tblLayout w:type="fixed"/>
        <w:tblCellMar>
          <w:top w:w="55" w:type="dxa"/>
          <w:left w:w="55" w:type="dxa"/>
          <w:bottom w:w="55" w:type="dxa"/>
          <w:right w:w="55" w:type="dxa"/>
        </w:tblCellMar>
      </w:tblPr>
      <w:tblGrid>
        <w:gridCol w:w="9975"/>
      </w:tblGrid>
      <w:tr>
        <w:trPr/>
        <w:tc>
          <w:tcPr>
            <w:tcW w:w="997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XVII. SPOSÓB OBLICZENIA CENY</w:t>
            </w:r>
          </w:p>
        </w:tc>
      </w:tr>
    </w:tbl>
    <w:p>
      <w:pPr>
        <w:pStyle w:val="Tekstpodstawowy2"/>
        <w:widowControl w:val="false"/>
        <w:spacing w:lineRule="atLeast" w:line="100" w:before="0" w:after="0"/>
        <w:ind w:right="30"/>
        <w:jc w:val="both"/>
        <w:rPr/>
      </w:pPr>
      <w:r>
        <w:rPr/>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lang w:val="pl-PL" w:bidi="ar-SA"/>
        </w:rPr>
        <w:t xml:space="preserve">1. Wykonawca poda cenę  brutto [z uwzględnieniem kwoty podatku od towarów i usług (VAT)] oferty w Formularzu Ofertowym ( interaktywnym) oraz arkuszu cenowym sporządzonym według wzoru stanowiącego </w:t>
      </w:r>
      <w:r>
        <w:rPr>
          <w:rFonts w:eastAsia="Calibri" w:cs="Tahoma"/>
          <w:b/>
          <w:bCs/>
          <w:color w:val="000000"/>
          <w:sz w:val="21"/>
          <w:szCs w:val="21"/>
          <w:shd w:fill="FFFFFF" w:val="clear"/>
          <w:lang w:val="pl-PL" w:bidi="ar-SA"/>
        </w:rPr>
        <w:t xml:space="preserve">Załącznik nr 1.1 do SWZ - ( pakiet nr 1 i 2) </w:t>
      </w:r>
      <w:r>
        <w:rPr>
          <w:rFonts w:eastAsia="Calibri" w:cs="Tahoma"/>
          <w:b w:val="false"/>
          <w:bCs w:val="false"/>
          <w:color w:val="000000"/>
          <w:sz w:val="21"/>
          <w:szCs w:val="21"/>
          <w:shd w:fill="FFFFFF" w:val="clear"/>
          <w:lang w:val="pl-PL" w:bidi="ar-SA"/>
        </w:rPr>
        <w:t>z wyszczególnieniem ceny netto, brutto i  stawki VAT -podatku od towarów i usług.</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lang w:val="pl-PL" w:bidi="ar-SA"/>
        </w:rPr>
        <w:t>2. Cena oferty stanowi wynagrodzenie ryczałtowe.</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shd w:fill="FFFFFF" w:val="clear"/>
          <w:lang w:val="pl-PL" w:bidi="ar-SA"/>
        </w:rPr>
        <w:t>3. Cena musi być wyrażona w złotych polskich (PLN), z dokładnością nie większą niż dwa miejsca po prze</w:t>
      </w:r>
      <w:r>
        <w:rPr>
          <w:rFonts w:eastAsia="Calibri" w:cs="Tahoma"/>
          <w:b w:val="false"/>
          <w:bCs w:val="false"/>
          <w:color w:val="000000"/>
          <w:sz w:val="21"/>
          <w:szCs w:val="21"/>
          <w:lang w:val="pl-PL" w:bidi="ar-SA"/>
        </w:rPr>
        <w:t>cinku.</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4. Wykonawca poda w Arkuszu Cenowym( zał.  1.1 do SWZ)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 1 pkt 10 pzp w związku z art. 223 ust. 2 pkt 3 pzp).</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5. Rozliczenia między Zamawiającym a Wykonawcą będą prowadzone w złotych polskich (PLN).</w:t>
      </w:r>
    </w:p>
    <w:p>
      <w:pPr>
        <w:pStyle w:val="Tekstpodstawowy2"/>
        <w:widowControl w:val="false"/>
        <w:spacing w:lineRule="atLeast" w:line="10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bidi="ar-SA"/>
        </w:rPr>
        <w:t>6. W przypadku rozbieżności pomiędzy ceną ryczałtową podaną cyfrowo a słownie, jako wartość właściwa zostanie przyjęta cena ryczałtowa podana słownie.</w:t>
      </w:r>
    </w:p>
    <w:tbl>
      <w:tblPr>
        <w:tblW w:w="9915" w:type="dxa"/>
        <w:jc w:val="left"/>
        <w:tblInd w:w="55" w:type="dxa"/>
        <w:tblLayout w:type="fixed"/>
        <w:tblCellMar>
          <w:top w:w="55" w:type="dxa"/>
          <w:left w:w="55" w:type="dxa"/>
          <w:bottom w:w="55" w:type="dxa"/>
          <w:right w:w="55" w:type="dxa"/>
        </w:tblCellMar>
      </w:tblPr>
      <w:tblGrid>
        <w:gridCol w:w="9915"/>
      </w:tblGrid>
      <w:tr>
        <w:trPr/>
        <w:tc>
          <w:tcPr>
            <w:tcW w:w="991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XVIII. OPIS KRYTERIÓW OCENY OFERT, WRAZ Z PODANIEM WAG TYCH KRYTERIÓW I SPOSOBU OCENY OFERT</w:t>
            </w:r>
          </w:p>
        </w:tc>
      </w:tr>
    </w:tbl>
    <w:p>
      <w:pPr>
        <w:pStyle w:val="ListParagraph"/>
        <w:widowControl w:val="false"/>
        <w:numPr>
          <w:ilvl w:val="0"/>
          <w:numId w:val="0"/>
        </w:numPr>
        <w:suppressAutoHyphens w:val="true"/>
        <w:overflowPunct w:val="false"/>
        <w:bidi w:val="0"/>
        <w:spacing w:lineRule="auto" w:line="240" w:before="0" w:after="0"/>
        <w:ind w:hanging="0" w:left="340" w:right="0"/>
        <w:contextualSpacing/>
        <w:jc w:val="left"/>
        <w:rPr>
          <w:rFonts w:ascii="Calibri" w:hAnsi="Calibri" w:cs="Calibri"/>
          <w:b/>
          <w:bCs/>
          <w:szCs w:val="19"/>
        </w:rPr>
      </w:pPr>
      <w:r>
        <w:rPr>
          <w:rFonts w:cs="Calibri" w:ascii="Calibri" w:hAnsi="Calibri"/>
          <w:b/>
          <w:bCs/>
          <w:szCs w:val="19"/>
        </w:rPr>
      </w:r>
    </w:p>
    <w:p>
      <w:pPr>
        <w:pStyle w:val="ListParagraph"/>
        <w:numPr>
          <w:ilvl w:val="0"/>
          <w:numId w:val="0"/>
        </w:numPr>
        <w:spacing w:lineRule="auto" w:line="240" w:before="0" w:after="0"/>
        <w:ind w:hanging="0" w:left="0" w:right="0"/>
        <w:contextualSpacing/>
        <w:jc w:val="left"/>
        <w:rPr>
          <w:color w:val="000000"/>
        </w:rPr>
      </w:pPr>
      <w:r>
        <w:rPr>
          <w:rFonts w:cs="Calibri" w:ascii="Calibri" w:hAnsi="Calibri"/>
          <w:b/>
          <w:bCs/>
          <w:szCs w:val="19"/>
        </w:rPr>
        <w:t xml:space="preserve">  </w:t>
      </w:r>
      <w:r>
        <w:rPr>
          <w:rFonts w:cs="Calibri" w:ascii="Calibri" w:hAnsi="Calibri"/>
          <w:b/>
          <w:bCs/>
          <w:szCs w:val="19"/>
        </w:rPr>
        <w:t>1.  KRYTERIUM OCENY OFERT</w:t>
      </w:r>
    </w:p>
    <w:p>
      <w:pPr>
        <w:pStyle w:val="ListParagraph"/>
        <w:spacing w:lineRule="auto" w:line="240" w:before="0" w:after="0"/>
        <w:ind w:hanging="0" w:left="360" w:right="0"/>
        <w:contextualSpacing/>
        <w:jc w:val="left"/>
        <w:rPr>
          <w:color w:val="000000"/>
        </w:rPr>
      </w:pPr>
      <w:r>
        <w:rPr>
          <w:color w:val="000000"/>
        </w:rPr>
      </w:r>
    </w:p>
    <w:p>
      <w:pPr>
        <w:pStyle w:val="ListParagraph"/>
        <w:spacing w:lineRule="auto" w:line="240" w:before="0" w:after="0"/>
        <w:ind w:hanging="0" w:left="360" w:right="0"/>
        <w:contextualSpacing/>
        <w:jc w:val="left"/>
        <w:rPr>
          <w:color w:val="000000"/>
          <w:shd w:fill="FFFFFF" w:val="clear"/>
        </w:rPr>
      </w:pPr>
      <w:r>
        <w:rPr>
          <w:rFonts w:cs="Tahoma" w:ascii="Tahoma" w:hAnsi="Tahoma"/>
          <w:color w:val="000000"/>
          <w:sz w:val="21"/>
          <w:szCs w:val="21"/>
          <w:shd w:fill="FFFFFF" w:val="clear"/>
        </w:rPr>
        <w:t>1) K1 – Cena oferty brutto: 100% - 100 pkt</w:t>
      </w:r>
    </w:p>
    <w:p>
      <w:pPr>
        <w:pStyle w:val="ListParagraph"/>
        <w:spacing w:lineRule="auto" w:line="240" w:before="0" w:after="0"/>
        <w:ind w:hanging="0" w:left="360" w:right="0"/>
        <w:contextualSpacing/>
        <w:jc w:val="left"/>
        <w:rPr>
          <w:color w:val="000000"/>
          <w:shd w:fill="FFFFFF" w:val="clear"/>
        </w:rPr>
      </w:pPr>
      <w:r>
        <w:rPr>
          <w:color w:val="000000"/>
          <w:shd w:fill="FFFFFF" w:val="clear"/>
        </w:rPr>
      </w:r>
    </w:p>
    <w:p>
      <w:pPr>
        <w:pStyle w:val="ListParagraph"/>
        <w:spacing w:lineRule="auto" w:line="240" w:before="0" w:after="0"/>
        <w:ind w:hanging="0" w:left="360" w:right="0"/>
        <w:contextualSpacing/>
        <w:jc w:val="left"/>
        <w:rPr>
          <w:rFonts w:ascii="Tahoma" w:hAnsi="Tahoma" w:cs="Tahoma"/>
          <w:color w:val="000000"/>
          <w:sz w:val="21"/>
          <w:szCs w:val="21"/>
          <w:shd w:fill="FFFFFF" w:val="clear"/>
        </w:rPr>
      </w:pPr>
      <w:r>
        <w:rPr>
          <w:rFonts w:cs="Tahoma" w:ascii="Tahoma" w:hAnsi="Tahoma"/>
          <w:color w:val="000000"/>
          <w:sz w:val="21"/>
          <w:szCs w:val="21"/>
          <w:shd w:fill="FFFFFF" w:val="clear"/>
        </w:rPr>
        <w:t>Razem: 100% - 100 pkt</w:t>
      </w:r>
    </w:p>
    <w:p>
      <w:pPr>
        <w:pStyle w:val="ListParagraph"/>
        <w:spacing w:lineRule="auto" w:line="240" w:before="0" w:after="0"/>
        <w:ind w:hanging="0" w:left="360" w:right="0"/>
        <w:contextualSpacing/>
        <w:jc w:val="left"/>
        <w:rPr>
          <w:rFonts w:ascii="Tahoma" w:hAnsi="Tahoma" w:cs="Tahoma"/>
          <w:color w:val="000000"/>
          <w:sz w:val="21"/>
          <w:szCs w:val="21"/>
          <w:shd w:fill="FFFFFF" w:val="clear"/>
        </w:rPr>
      </w:pPr>
      <w:r>
        <w:rPr>
          <w:rFonts w:cs="Tahoma" w:ascii="Tahoma" w:hAnsi="Tahoma"/>
          <w:color w:val="000000"/>
          <w:sz w:val="21"/>
          <w:szCs w:val="21"/>
          <w:shd w:fill="FFFFFF" w:val="clear"/>
        </w:rPr>
      </w:r>
    </w:p>
    <w:p>
      <w:pPr>
        <w:pStyle w:val="ListParagraph"/>
        <w:numPr>
          <w:ilvl w:val="0"/>
          <w:numId w:val="0"/>
        </w:numPr>
        <w:spacing w:lineRule="auto" w:line="240" w:before="0" w:after="0"/>
        <w:ind w:hanging="0" w:left="792" w:right="0"/>
        <w:contextualSpacing/>
        <w:jc w:val="left"/>
        <w:rPr>
          <w:rFonts w:ascii="Tahoma" w:hAnsi="Tahoma" w:cs="Tahoma"/>
          <w:color w:val="000000"/>
          <w:sz w:val="21"/>
          <w:szCs w:val="21"/>
          <w:shd w:fill="FFFFFF" w:val="clear"/>
        </w:rPr>
      </w:pPr>
      <w:r>
        <w:rPr>
          <w:rFonts w:cs="Tahoma" w:ascii="Tahoma" w:hAnsi="Tahoma"/>
          <w:color w:val="000000"/>
          <w:sz w:val="21"/>
          <w:szCs w:val="21"/>
          <w:shd w:fill="FFFFFF" w:val="clear"/>
        </w:rPr>
        <w:t xml:space="preserve">       </w:t>
      </w:r>
      <w:r>
        <w:rPr>
          <w:rFonts w:cs="Tahoma" w:ascii="Tahoma" w:hAnsi="Tahoma"/>
          <w:color w:val="000000"/>
          <w:sz w:val="21"/>
          <w:szCs w:val="21"/>
          <w:shd w:fill="FFFFFF" w:val="clear"/>
        </w:rPr>
        <w:t>a) Sposób obliczenia punktów w odniesieniu do kryterium „K1 – Cena oferty brutto”</w:t>
      </w:r>
    </w:p>
    <w:p>
      <w:pPr>
        <w:pStyle w:val="ListParagraph"/>
        <w:spacing w:lineRule="auto" w:line="276" w:before="0" w:after="0"/>
        <w:ind w:hanging="0" w:left="792" w:right="51"/>
        <w:contextualSpacing/>
        <w:rPr>
          <w:rFonts w:ascii="Tahoma" w:hAnsi="Tahoma" w:cs="Tahoma"/>
          <w:color w:val="000000"/>
          <w:sz w:val="21"/>
          <w:szCs w:val="21"/>
          <w:shd w:fill="FFFFFF" w:val="clear"/>
        </w:rPr>
      </w:pPr>
      <w:r>
        <w:rPr>
          <w:rFonts w:cs="Tahoma" w:ascii="Tahoma" w:hAnsi="Tahoma"/>
          <w:color w:val="000000"/>
          <w:sz w:val="21"/>
          <w:szCs w:val="21"/>
          <w:shd w:fill="FFFFFF" w:val="clear"/>
        </w:rPr>
        <w:t xml:space="preserve">K1 – waga 100% (Wykonawca może otrzymać maksymalnie 100 punktów) </w:t>
      </w:r>
    </w:p>
    <w:p>
      <w:pPr>
        <w:pStyle w:val="ListParagraph"/>
        <w:spacing w:lineRule="auto" w:line="276" w:before="0" w:after="0"/>
        <w:ind w:hanging="0" w:left="792" w:right="47"/>
        <w:contextualSpacing/>
        <w:rPr>
          <w:rFonts w:ascii="Tahoma" w:hAnsi="Tahoma" w:cs="Tahoma"/>
          <w:color w:val="000000"/>
          <w:sz w:val="21"/>
          <w:szCs w:val="21"/>
          <w:shd w:fill="FFFFFF" w:val="clear"/>
        </w:rPr>
      </w:pPr>
      <w:r>
        <w:rPr>
          <w:rFonts w:cs="Tahoma" w:ascii="Tahoma" w:hAnsi="Tahoma"/>
          <w:color w:val="000000"/>
          <w:sz w:val="21"/>
          <w:szCs w:val="21"/>
          <w:shd w:fill="FFFFFF" w:val="clear"/>
        </w:rPr>
        <w:t xml:space="preserve">K1= (cena ofertowa minimalna / cena ofertowa badana) x waga kryterium (100) </w:t>
      </w:r>
    </w:p>
    <w:p>
      <w:pPr>
        <w:pStyle w:val="ListParagraph"/>
        <w:spacing w:lineRule="auto" w:line="276" w:before="0" w:after="0"/>
        <w:ind w:hanging="0" w:left="792" w:right="47"/>
        <w:contextualSpacing/>
        <w:rPr>
          <w:rFonts w:ascii="Tahoma" w:hAnsi="Tahoma" w:cs="Tahoma"/>
          <w:color w:val="000000"/>
          <w:sz w:val="21"/>
          <w:szCs w:val="21"/>
          <w:shd w:fill="FFFFFF" w:val="clear"/>
        </w:rPr>
      </w:pPr>
      <w:r>
        <w:rPr>
          <w:rFonts w:cs="Tahoma" w:ascii="Tahoma" w:hAnsi="Tahoma"/>
          <w:color w:val="000000"/>
          <w:sz w:val="21"/>
          <w:szCs w:val="21"/>
          <w:shd w:fill="FFFFFF" w:val="clear"/>
        </w:rPr>
      </w:r>
    </w:p>
    <w:p>
      <w:pPr>
        <w:pStyle w:val="Default"/>
        <w:spacing w:before="0" w:after="0"/>
        <w:ind w:hanging="0" w:left="0"/>
        <w:jc w:val="left"/>
        <w:rPr>
          <w:sz w:val="23"/>
        </w:rPr>
      </w:pPr>
      <w:r>
        <w:rPr>
          <w:sz w:val="23"/>
        </w:rPr>
        <w:t xml:space="preserve">Wartość brutto należy obliczyć oraz podać z dokładnością do dwóch miejsc po przecinku. </w:t>
      </w:r>
    </w:p>
    <w:p>
      <w:pPr>
        <w:pStyle w:val="Normal"/>
        <w:spacing w:lineRule="auto" w:line="276" w:before="0" w:after="0"/>
        <w:ind w:hanging="0" w:left="792" w:right="47"/>
        <w:contextualSpacing/>
        <w:rPr>
          <w:rFonts w:ascii="Tahoma" w:hAnsi="Tahoma" w:cs="Tahoma"/>
          <w:color w:val="000000"/>
          <w:sz w:val="21"/>
          <w:szCs w:val="21"/>
          <w:shd w:fill="FFFFFF" w:val="clear"/>
        </w:rPr>
      </w:pPr>
      <w:r>
        <w:rPr>
          <w:rFonts w:cs="Tahoma" w:ascii="Tahoma" w:hAnsi="Tahoma"/>
          <w:color w:val="000000"/>
          <w:sz w:val="21"/>
          <w:szCs w:val="21"/>
          <w:shd w:fill="FFFFFF" w:val="clear"/>
        </w:rPr>
      </w:r>
    </w:p>
    <w:p>
      <w:pPr>
        <w:pStyle w:val="Tekstpodstawowy2"/>
        <w:widowControl w:val="false"/>
        <w:spacing w:lineRule="atLeast" w:line="100" w:before="0" w:after="0"/>
        <w:ind w:right="30"/>
        <w:jc w:val="both"/>
        <w:rPr>
          <w:rFonts w:eastAsia="Calibri" w:cs="Tahoma"/>
          <w:b w:val="false"/>
          <w:b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2. Ocenie będą podlegać wyłącznie oferty nie podlegające odrzuceniu.</w:t>
      </w:r>
    </w:p>
    <w:p>
      <w:pPr>
        <w:pStyle w:val="Tekstpodstawowy2"/>
        <w:widowControl w:val="false"/>
        <w:spacing w:lineRule="atLeast" w:line="100" w:before="0" w:after="0"/>
        <w:ind w:right="30"/>
        <w:jc w:val="both"/>
        <w:rPr>
          <w:rFonts w:eastAsia="Calibri" w:cs="Tahoma"/>
          <w:b w:val="false"/>
          <w:b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 xml:space="preserve">3. </w:t>
      </w:r>
      <w:r>
        <w:rPr>
          <w:sz w:val="23"/>
        </w:rPr>
        <w:t xml:space="preserve">Punktacja przyznawana ofertom będzie liczona z dokładnością do dwóch miejsc po przecinku. </w:t>
      </w:r>
    </w:p>
    <w:p>
      <w:pPr>
        <w:pStyle w:val="Tekstpodstawowy2"/>
        <w:widowControl w:val="false"/>
        <w:spacing w:lineRule="atLeast" w:line="100" w:before="0" w:after="0"/>
        <w:ind w:right="30"/>
        <w:jc w:val="both"/>
        <w:rPr>
          <w:rFonts w:eastAsia="Calibri" w:cs="Tahoma"/>
          <w:b w:val="false"/>
          <w:b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4. W sytuacji, gdy Zamawiający nie będzie mógł dokonać wyboru najkorzystniejszej oferty ze względu na to, że zostały złożone oferty o takiej samej końcowej ilości punktów,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w:t>
      </w:r>
    </w:p>
    <w:p>
      <w:pPr>
        <w:pStyle w:val="Tekstpodstawowy2"/>
        <w:widowControl w:val="false"/>
        <w:spacing w:lineRule="atLeast" w:line="100" w:before="0" w:after="0"/>
        <w:ind w:right="30"/>
        <w:jc w:val="both"/>
        <w:rPr>
          <w:rFonts w:eastAsia="Calibri" w:cs="Tahoma"/>
          <w:b w:val="false"/>
          <w:b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5. 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pPr>
        <w:pStyle w:val="Tekstpodstawowy2"/>
        <w:widowControl w:val="false"/>
        <w:spacing w:lineRule="atLeast" w:line="100" w:before="0" w:after="0"/>
        <w:ind w:right="30"/>
        <w:jc w:val="both"/>
        <w:rPr>
          <w:rFonts w:eastAsia="Calibri" w:cs="Tahoma"/>
          <w:b w:val="false"/>
          <w:b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6. Zamawiający wybiera najkorzystniejsza ofertę w terminie związania  ofertą określonym w SWZ.</w:t>
      </w:r>
    </w:p>
    <w:p>
      <w:pPr>
        <w:pStyle w:val="Tekstpodstawowy2"/>
        <w:widowControl w:val="false"/>
        <w:spacing w:lineRule="atLeast" w:line="100" w:before="0" w:after="0"/>
        <w:ind w:right="30"/>
        <w:jc w:val="both"/>
        <w:rPr>
          <w:rFonts w:eastAsia="Calibri" w:cs="Tahoma"/>
          <w:b w:val="false"/>
          <w:bCs w:val="false"/>
          <w:i w:val="false"/>
          <w:iCs w:val="false"/>
          <w:color w:val="000000"/>
          <w:sz w:val="21"/>
          <w:szCs w:val="21"/>
          <w:shd w:fill="FFFFFF" w:val="clear"/>
          <w:lang w:val="pl-PL" w:bidi="ar-SA"/>
        </w:rPr>
      </w:pPr>
      <w:r>
        <w:rPr>
          <w:rFonts w:eastAsia="Calibri" w:cs="Tahoma"/>
          <w:b w:val="false"/>
          <w:bCs w:val="false"/>
          <w:color w:val="000000"/>
          <w:sz w:val="21"/>
          <w:szCs w:val="21"/>
          <w:shd w:fill="FFFFFF" w:val="clear"/>
          <w:lang w:val="pl-PL" w:bidi="ar-SA"/>
        </w:rPr>
        <w:t>7. Jeżeli termin związania ofertą upłynie przed wyborem najkorzystniejszej oferty, Zamawiający wezwie Wykonawce, którego oferta otrzymała najwyższą ocenę, do wyrażenia, w wyznaczonym przez Zamawiającego terminie, pisemnej zgody na wybór jego oferty.</w:t>
      </w:r>
    </w:p>
    <w:p>
      <w:pPr>
        <w:pStyle w:val="Tekstpodstawowy2"/>
        <w:widowControl w:val="false"/>
        <w:spacing w:lineRule="atLeast" w:line="100"/>
        <w:ind w:right="30"/>
        <w:jc w:val="both"/>
        <w:rPr>
          <w:shd w:fill="FFFFFF" w:val="clear"/>
        </w:rPr>
      </w:pPr>
      <w:r>
        <w:rPr>
          <w:rFonts w:eastAsia="Calibri" w:cs="Tahoma"/>
          <w:b w:val="false"/>
          <w:bCs w:val="false"/>
          <w:i w:val="false"/>
          <w:iCs w:val="false"/>
          <w:color w:val="000000"/>
          <w:sz w:val="21"/>
          <w:szCs w:val="21"/>
          <w:shd w:fill="FFFFFF" w:val="clear"/>
          <w:lang w:val="pl-PL" w:bidi="ar-SA"/>
        </w:rPr>
        <w:t>8. W przypadku braku zgody, o której mowa w ust. 7, oferta podlega odrzuceniu, a Zamawiający zwraca się o wyrażenie takiej zgody do kolejnego Wykonawcy, którego oferta została najwyżej oceniona, chyba że zachodzą przesłanki do unieważnienia postępowania.</w:t>
      </w:r>
    </w:p>
    <w:tbl>
      <w:tblPr>
        <w:tblW w:w="9915" w:type="dxa"/>
        <w:jc w:val="left"/>
        <w:tblInd w:w="55" w:type="dxa"/>
        <w:tblLayout w:type="fixed"/>
        <w:tblCellMar>
          <w:top w:w="55" w:type="dxa"/>
          <w:left w:w="55" w:type="dxa"/>
          <w:bottom w:w="55" w:type="dxa"/>
          <w:right w:w="55" w:type="dxa"/>
        </w:tblCellMar>
      </w:tblPr>
      <w:tblGrid>
        <w:gridCol w:w="9915"/>
      </w:tblGrid>
      <w:tr>
        <w:trPr/>
        <w:tc>
          <w:tcPr>
            <w:tcW w:w="991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XIX. INFORMACJE O FORMALNOŚCIACH, JAKIE MUSZĄ ZOSTAĆ DOPEŁNIONE PO WYBORZE OFERTY W CELU ZAWARCIA UMOWY W SPRAWIE ZAMÓWIENIA PUBLICZNEGO</w:t>
            </w:r>
          </w:p>
        </w:tc>
      </w:tr>
    </w:tbl>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strike w:val="false"/>
          <w:dstrike w:val="false"/>
          <w:color w:val="000000"/>
          <w:sz w:val="21"/>
          <w:szCs w:val="21"/>
          <w:u w:val="none"/>
          <w:lang w:val="pl-PL" w:bidi="ar-SA"/>
        </w:rPr>
        <w:t>1. Zamawiający zawiera umowę w sprawie zamówienia publicznego, z uwzględnieniem art. 577 pzp, w terminie nie krótszym niż 10 dni od dnia przesłania zawiadomienia o wyborze najkorzystniejszej oferty, jeżeli zawiadomienie to zostało przesłane przy użyciu środków komunikacji elektronicznej, albo 15 dni, jeżeli zostało przesłane w inny sposób.</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lang w:val="pl-PL" w:bidi="ar-SA"/>
        </w:rPr>
        <w:t>2. Zamawiający może zawrzeć umowę w sprawie zamówienia publicznego przed upływem terminu, o którym mowa w ust. 1, jeżeli w postępowaniu o udzielenie zamówienia złożono tylko jedną ofertę</w:t>
      </w:r>
      <w:r>
        <w:rPr>
          <w:rFonts w:eastAsia="Calibri" w:cs="Tahoma"/>
          <w:b/>
          <w:bCs/>
          <w:color w:val="000000"/>
          <w:sz w:val="21"/>
          <w:szCs w:val="21"/>
          <w:lang w:val="pl-PL" w:bidi="ar-SA"/>
        </w:rPr>
        <w:t>.</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lang w:val="pl-PL" w:bidi="ar-SA"/>
        </w:rPr>
        <w:t>3. Wykonawca, którego oferta została wybrana jako najkorzystniejsza, zostanie poinformowany przez Zamawiającego o miejscu i terminie podpisania umowy.</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lang w:val="pl-PL" w:bidi="ar-SA"/>
        </w:rPr>
        <w:t xml:space="preserve">4. Wykonawca, o którym mowa w ust. 3, ma obowiązek zawrzeć umowę w sprawie zamówienia na warunkach określonych w projektowanych postanowieniach umowy, które stanowią załącznik nr </w:t>
      </w:r>
      <w:r>
        <w:rPr>
          <w:rFonts w:eastAsia="Calibri" w:cs="Tahoma"/>
          <w:b w:val="false"/>
          <w:bCs w:val="false"/>
          <w:iCs/>
          <w:color w:val="000000"/>
          <w:sz w:val="21"/>
          <w:szCs w:val="21"/>
          <w:lang w:val="pl-PL" w:eastAsia="zh-CN" w:bidi="ar-SA"/>
        </w:rPr>
        <w:t>5-5B</w:t>
      </w:r>
      <w:r>
        <w:rPr>
          <w:rFonts w:eastAsia="Calibri" w:cs="Tahoma"/>
          <w:b w:val="false"/>
          <w:bCs w:val="false"/>
          <w:color w:val="000000"/>
          <w:sz w:val="21"/>
          <w:szCs w:val="21"/>
          <w:lang w:val="pl-PL" w:bidi="ar-SA"/>
        </w:rPr>
        <w:t xml:space="preserve"> do SWZ. Umowa zostanie uzupełniona o zapisy wynikające ze złożonej oferty.</w:t>
      </w:r>
    </w:p>
    <w:p>
      <w:pPr>
        <w:pStyle w:val="Tekstpodstawowy2"/>
        <w:widowControl w:val="false"/>
        <w:spacing w:lineRule="atLeast" w:line="100" w:before="0" w:after="0"/>
        <w:ind w:right="30"/>
        <w:jc w:val="both"/>
        <w:rPr>
          <w:rFonts w:ascii="Tahoma" w:hAnsi="Tahoma" w:eastAsia="Calibri" w:cs="Tahoma"/>
          <w:b w:val="false"/>
          <w:bCs w:val="false"/>
          <w:color w:val="000000"/>
          <w:sz w:val="21"/>
          <w:szCs w:val="21"/>
          <w:lang w:val="pl-PL" w:bidi="ar-SA"/>
        </w:rPr>
      </w:pPr>
      <w:r>
        <w:rPr>
          <w:rFonts w:eastAsia="Calibri" w:cs="Tahoma"/>
          <w:b w:val="false"/>
          <w:bCs w:val="false"/>
          <w:color w:val="000000"/>
          <w:sz w:val="21"/>
          <w:szCs w:val="21"/>
          <w:lang w:val="pl-PL" w:bidi="ar-SA"/>
        </w:rPr>
        <w:t>5. Przed podpisaniem umowy Wykonawcy wspólnie ubiegający się o udzielenie zamówienia (w przypadku wyboru ich oferty jako najkorzystniejszej) przedstawią Zamawiającemu umowę regulującą współpracę tych Wykonawców.</w:t>
      </w:r>
    </w:p>
    <w:p>
      <w:pPr>
        <w:pStyle w:val="Tekstpodstawowy2"/>
        <w:widowControl w:val="false"/>
        <w:spacing w:lineRule="atLeast" w:line="100"/>
        <w:ind w:right="30"/>
        <w:jc w:val="both"/>
        <w:rPr>
          <w:rFonts w:ascii="Tahoma" w:hAnsi="Tahoma" w:cs="Tahoma"/>
          <w:i w:val="false"/>
          <w:caps w:val="false"/>
          <w:smallCaps w:val="false"/>
          <w:color w:val="000000"/>
          <w:spacing w:val="0"/>
          <w:sz w:val="21"/>
          <w:szCs w:val="21"/>
        </w:rPr>
      </w:pPr>
      <w:r>
        <w:rPr>
          <w:rFonts w:eastAsia="Calibri" w:cs="Tahoma"/>
          <w:b w:val="false"/>
          <w:bCs w:val="false"/>
          <w:color w:val="000000"/>
          <w:sz w:val="21"/>
          <w:szCs w:val="21"/>
          <w:lang w:val="pl-PL" w:bidi="ar-SA"/>
        </w:rPr>
        <w:t>6. Jeżeli Wykonawca, którego oferta została wybrana jako najkorzystniejsza, uchyla się od zawarcia umowy w sprawie zamówienia publicznego Zamawiający może dokonać ponownego badania i oceny ofert spośród ofert pozostałych w postępowaniu Wykonawców albo unieważnić postępowanie.</w:t>
      </w:r>
    </w:p>
    <w:p>
      <w:pPr>
        <w:pStyle w:val="Tekstpodstawowy2"/>
        <w:widowControl w:val="false"/>
        <w:pBdr>
          <w:top w:val="single" w:sz="4" w:space="1" w:color="000000"/>
          <w:left w:val="single" w:sz="4" w:space="4" w:color="000000"/>
          <w:bottom w:val="single" w:sz="4" w:space="1" w:color="000000"/>
          <w:right w:val="single" w:sz="4" w:space="4" w:color="000000"/>
        </w:pBdr>
        <w:shd w:val="clear" w:fill="D9D9D9"/>
        <w:spacing w:lineRule="atLeast" w:line="100"/>
        <w:ind w:right="30"/>
        <w:jc w:val="both"/>
        <w:rPr>
          <w:rFonts w:ascii="Tahoma" w:hAnsi="Tahoma" w:eastAsia="Calibri" w:cs="Tahoma"/>
          <w:b w:val="false"/>
          <w:bCs w:val="false"/>
          <w:color w:val="000000"/>
          <w:sz w:val="21"/>
          <w:szCs w:val="21"/>
          <w:lang w:val="pl-PL" w:bidi="ar-SA"/>
        </w:rPr>
      </w:pPr>
      <w:r>
        <w:rPr>
          <w:rFonts w:eastAsia="Calibri" w:cs="Tahoma"/>
          <w:b/>
          <w:bCs/>
          <w:color w:val="000000"/>
          <w:sz w:val="20"/>
          <w:szCs w:val="20"/>
          <w:lang w:val="pl-PL"/>
        </w:rPr>
        <w:t>XX.  WYMAGANIA DOTYCZĄCE ZABEZPIECZENIE NALEŻYTEGO WYKONANIA UMOWY</w:t>
      </w:r>
    </w:p>
    <w:p>
      <w:pPr>
        <w:pStyle w:val="Tekstpodstawowy2"/>
        <w:widowControl w:val="false"/>
        <w:spacing w:lineRule="atLeast" w:line="100"/>
        <w:ind w:right="30"/>
        <w:jc w:val="both"/>
        <w:rPr>
          <w:rFonts w:eastAsia="Calibri" w:cs="Tahoma"/>
          <w:b/>
          <w:bCs/>
          <w:color w:val="000000"/>
          <w:sz w:val="20"/>
          <w:szCs w:val="20"/>
          <w:lang w:val="pl-PL" w:bidi="ar-SA"/>
        </w:rPr>
      </w:pPr>
      <w:r>
        <w:rPr>
          <w:rFonts w:eastAsia="Calibri" w:cs="Tahoma"/>
          <w:b w:val="false"/>
          <w:bCs w:val="false"/>
          <w:color w:val="000000"/>
          <w:sz w:val="21"/>
          <w:szCs w:val="21"/>
          <w:lang w:val="pl-PL" w:bidi="ar-SA"/>
        </w:rPr>
        <w:t xml:space="preserve">1. Zamawiający nie wymaga zabezpieczenia należytego wykonania umowy </w:t>
      </w:r>
    </w:p>
    <w:tbl>
      <w:tblPr>
        <w:tblW w:w="10035" w:type="dxa"/>
        <w:jc w:val="left"/>
        <w:tblInd w:w="-5" w:type="dxa"/>
        <w:tblLayout w:type="fixed"/>
        <w:tblCellMar>
          <w:top w:w="55" w:type="dxa"/>
          <w:left w:w="55" w:type="dxa"/>
          <w:bottom w:w="55" w:type="dxa"/>
          <w:right w:w="55" w:type="dxa"/>
        </w:tblCellMar>
      </w:tblPr>
      <w:tblGrid>
        <w:gridCol w:w="10035"/>
      </w:tblGrid>
      <w:tr>
        <w:trPr/>
        <w:tc>
          <w:tcPr>
            <w:tcW w:w="10035" w:type="dxa"/>
            <w:tcBorders>
              <w:top w:val="single" w:sz="2" w:space="0" w:color="000000"/>
              <w:left w:val="single" w:sz="2" w:space="0" w:color="000000"/>
              <w:bottom w:val="single" w:sz="2" w:space="0" w:color="000000"/>
              <w:right w:val="single" w:sz="2" w:space="0" w:color="000000"/>
            </w:tcBorders>
            <w:shd w:fill="E6E6E6" w:val="clear"/>
          </w:tcPr>
          <w:p>
            <w:pPr>
              <w:pStyle w:val="Tekstpodstawowy2"/>
              <w:widowControl w:val="false"/>
              <w:spacing w:lineRule="atLeast" w:line="100" w:before="0" w:after="160"/>
              <w:ind w:right="30"/>
              <w:jc w:val="both"/>
              <w:rPr>
                <w:rFonts w:eastAsia="Calibri" w:cs="Tahoma"/>
                <w:b/>
                <w:bCs/>
                <w:color w:val="000000"/>
                <w:sz w:val="20"/>
                <w:szCs w:val="20"/>
                <w:lang w:val="pl-PL" w:bidi="ar-SA"/>
              </w:rPr>
            </w:pPr>
            <w:r>
              <w:rPr>
                <w:rFonts w:eastAsia="Calibri" w:cs="Tahoma"/>
                <w:b/>
                <w:bCs/>
                <w:color w:val="000000"/>
                <w:sz w:val="20"/>
                <w:szCs w:val="20"/>
                <w:lang w:val="pl-PL" w:bidi="ar-SA"/>
              </w:rPr>
              <w:t>XXI. POUCZENIE O ŚRODKACH OCHRONY PRAWNEJ PRZYSŁUGUJĄCYCH WYKONAWCY</w:t>
            </w:r>
          </w:p>
        </w:tc>
      </w:tr>
    </w:tbl>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1. Środki ochrony prawnej przysługują Wykonawcy, jeżeli ma lub miał interes w uzyskaniu zamówienia oraz poniósł lub może ponieść szkodę w wyniku naruszenia przez Zamawiającego przepisów pzp.</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2. Odwołanie przysługuje na:</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 niezgodną z przepisami ustawy czynność Zamawiającego, podjętą w postępowaniu o udzielenie zamówienia, w tym na projektowane postanowienie umowy;</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 zaniechanie czynności w postępowaniu o udzielenie zamówienia, do której Zamawiający był obowiązany na podstawie ustawy.</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3. Odwołanie wnosi się do Prezesa Krajowej Izby Odwoławczej w formie pisemnej albo w formie elektronicznej albo w postaci elektronicznej opatrzone podpisem zaufanym.</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4.</w:t>
      </w:r>
      <w:r>
        <w:rPr>
          <w:sz w:val="21"/>
          <w:szCs w:val="21"/>
        </w:rPr>
        <w:t xml:space="preserve">Na orzeczenie Krajowej Izby Odwoławczej oraz postanowienie Prezesa Krajowej Izby Odwoławczej, </w:t>
      </w:r>
      <w:r>
        <w:rPr>
          <w:rFonts w:eastAsia="Calibri" w:cs="Tahoma"/>
          <w:b w:val="false"/>
          <w:bCs w:val="false"/>
          <w:color w:val="000000"/>
          <w:sz w:val="21"/>
          <w:szCs w:val="21"/>
          <w:lang w:val="pl-PL" w:bidi="ar-SA"/>
        </w:rPr>
        <w:t>o którym mowa w art. 519 ust. 1 pzp, stronom oraz uczestnikom postępowania odwoławczego przysługuje skarga do sądu. Skargę wnosi siędo Sądu Okręgowego w Warszawie za pośrednictwem Prezesa Krajowej Izby Odwoławczej.</w:t>
      </w:r>
    </w:p>
    <w:p>
      <w:pPr>
        <w:pStyle w:val="Tekstpodstawowy2"/>
        <w:widowControl w:val="false"/>
        <w:spacing w:lineRule="atLeast" w:line="100" w:before="0" w:after="0"/>
        <w:ind w:right="30"/>
        <w:jc w:val="both"/>
        <w:rPr>
          <w:rFonts w:ascii="Tahoma" w:hAnsi="Tahoma" w:cs="Tahoma"/>
          <w:b/>
          <w:bCs/>
          <w:i w:val="false"/>
          <w:caps w:val="false"/>
          <w:smallCaps w:val="false"/>
          <w:color w:val="444444"/>
          <w:spacing w:val="0"/>
          <w:sz w:val="21"/>
          <w:szCs w:val="21"/>
        </w:rPr>
      </w:pPr>
      <w:r>
        <w:rPr>
          <w:rFonts w:eastAsia="Calibri" w:cs="Tahoma"/>
          <w:b w:val="false"/>
          <w:bCs w:val="false"/>
          <w:color w:val="000000"/>
          <w:sz w:val="21"/>
          <w:szCs w:val="21"/>
          <w:lang w:val="pl-PL" w:bidi="ar-SA"/>
        </w:rPr>
        <w:t>5. Szczegółowe informacje dotyczące środków ochrony prawnej określone są w Dziale IX „Środki ochrony prawnej” pzp.</w:t>
      </w:r>
    </w:p>
    <w:p>
      <w:pPr>
        <w:pStyle w:val="Normal"/>
        <w:spacing w:before="0" w:after="0"/>
        <w:rPr>
          <w:rFonts w:ascii="Tahoma" w:hAnsi="Tahoma" w:cs="Tahoma"/>
          <w:b/>
          <w:bCs/>
          <w:i w:val="false"/>
          <w:caps w:val="false"/>
          <w:smallCaps w:val="false"/>
          <w:color w:val="000000"/>
          <w:spacing w:val="0"/>
          <w:sz w:val="21"/>
          <w:szCs w:val="21"/>
        </w:rPr>
      </w:pPr>
      <w:r>
        <w:rPr>
          <w:rFonts w:cs="Tahoma" w:ascii="Tahoma" w:hAnsi="Tahoma"/>
          <w:b/>
          <w:bCs/>
          <w:i w:val="false"/>
          <w:caps w:val="false"/>
          <w:smallCaps w:val="false"/>
          <w:color w:val="444444"/>
          <w:spacing w:val="0"/>
          <w:sz w:val="21"/>
          <w:szCs w:val="21"/>
        </w:rPr>
        <w:t>Informacje o terminach odwołania:</w:t>
      </w:r>
    </w:p>
    <w:p>
      <w:pPr>
        <w:pStyle w:val="Normal"/>
        <w:rPr>
          <w:rFonts w:cs="Tahoma"/>
          <w:b/>
          <w:bCs/>
          <w:sz w:val="20"/>
          <w:szCs w:val="20"/>
          <w:lang w:val="pl-PL" w:bidi="ar-SA"/>
        </w:rPr>
      </w:pPr>
      <w:r>
        <w:rPr>
          <w:rFonts w:cs="Tahoma" w:ascii="Tahoma" w:hAnsi="Tahoma"/>
          <w:b/>
          <w:bCs/>
          <w:i w:val="false"/>
          <w:caps w:val="false"/>
          <w:smallCaps w:val="false"/>
          <w:color w:val="000000"/>
          <w:spacing w:val="0"/>
          <w:sz w:val="21"/>
          <w:szCs w:val="21"/>
        </w:rPr>
        <w:t> </w:t>
      </w:r>
      <w:r>
        <w:rPr>
          <w:rFonts w:cs="Tahoma" w:ascii="Tahoma" w:hAnsi="Tahoma"/>
          <w:b/>
          <w:bCs/>
          <w:i w:val="false"/>
          <w:caps w:val="false"/>
          <w:smallCaps w:val="false"/>
          <w:color w:val="000000"/>
          <w:spacing w:val="0"/>
          <w:sz w:val="21"/>
          <w:szCs w:val="21"/>
        </w:rPr>
        <w:t xml:space="preserve">Odwołanie wnosi się w terminie: </w:t>
      </w:r>
      <w:r>
        <w:rPr>
          <w:rFonts w:cs="Tahoma" w:ascii="Tahoma" w:hAnsi="Tahoma"/>
          <w:bCs/>
          <w:i w:val="false"/>
          <w:caps w:val="false"/>
          <w:smallCaps w:val="false"/>
          <w:color w:val="000000"/>
          <w:spacing w:val="0"/>
          <w:sz w:val="21"/>
          <w:szCs w:val="21"/>
        </w:rPr>
        <w:t>1) 10 dni od dnia przekazania informacji o czynności zamawiającego stanowiącej podstawę jego wniesienia, jeżeli informacja została przekazana przy użyciu środków komunikacji elektronicznej, 2) 15 dni od dnia przekazania informacji o czynności zamawiającego stanowiącej podstawę jego wniesienia, jeżeli informacja została przekazana w sposób inny niż określony w pkt 1) Pozostałe informacje dotyczące środków ochrony prawnej zawarte są w art. 505 – 590 Ustawy.</w:t>
      </w:r>
      <w:r>
        <w:rPr>
          <w:rFonts w:cs="Tahoma" w:ascii="Tahoma" w:hAnsi="Tahoma"/>
          <w:b/>
          <w:bCs/>
          <w:color w:val="000000"/>
          <w:sz w:val="21"/>
          <w:szCs w:val="21"/>
        </w:rPr>
        <w:t xml:space="preserve"> </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spacing w:lineRule="atLeast" w:line="100" w:before="0" w:after="160"/>
              <w:rPr/>
            </w:pPr>
            <w:r>
              <w:rPr>
                <w:rFonts w:cs="Tahoma"/>
                <w:b/>
                <w:bCs/>
                <w:sz w:val="20"/>
                <w:szCs w:val="20"/>
                <w:lang w:val="pl-PL" w:bidi="ar-SA"/>
              </w:rPr>
              <w:t xml:space="preserve">XXII. </w:t>
            </w:r>
            <w:r>
              <w:rPr>
                <w:rFonts w:eastAsia="Calibri" w:cs="Tahoma"/>
                <w:b/>
                <w:bCs/>
                <w:color w:val="000000"/>
                <w:sz w:val="20"/>
                <w:szCs w:val="20"/>
                <w:lang w:val="pl-PL" w:bidi="ar-SA"/>
              </w:rPr>
              <w:t>KLAUZULA INFORMACYJNA DOTYCZĄCA PRZETWARZANIA DANYCH OSOBOWYCH</w:t>
            </w:r>
          </w:p>
        </w:tc>
      </w:tr>
    </w:tbl>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 xml:space="preserve">administratorem Pani/Pana danych osobowych jest </w:t>
      </w:r>
      <w:r>
        <w:rPr>
          <w:rFonts w:eastAsia="Times New Roman" w:cs="Tahoma"/>
          <w:b w:val="false"/>
          <w:bCs w:val="false"/>
          <w:i/>
          <w:color w:val="000000"/>
          <w:sz w:val="21"/>
          <w:szCs w:val="21"/>
          <w:lang w:val="pl-PL" w:eastAsia="pl-PL" w:bidi="ar-SA"/>
        </w:rPr>
        <w:t>Szpital Powiatowy im. Tadeusza Malińskiego w Śremie sp z o. o., ul. Chełmońskiego 1, 63-100 Śrem</w:t>
      </w:r>
      <w:r>
        <w:rPr>
          <w:rFonts w:eastAsia="Calibri" w:cs="Tahoma"/>
          <w:b w:val="false"/>
          <w:bCs w:val="false"/>
          <w:color w:val="000000"/>
          <w:sz w:val="21"/>
          <w:szCs w:val="21"/>
          <w:lang w:val="pl-PL" w:bidi="ar-SA"/>
        </w:rPr>
        <w:t xml:space="preserve">; </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w sprawach związanych z Pani/Pana danymi proszę kontaktować się z Inspektorem Ochrony Danych, ko</w:t>
      </w:r>
      <w:r>
        <w:rPr>
          <w:rFonts w:eastAsia="Calibri" w:cs="Tahoma"/>
          <w:b w:val="false"/>
          <w:bCs w:val="false"/>
          <w:color w:val="000000"/>
          <w:sz w:val="21"/>
          <w:szCs w:val="21"/>
          <w:shd w:fill="FFFFFF" w:val="clear"/>
          <w:lang w:val="pl-PL" w:bidi="ar-SA"/>
        </w:rPr>
        <w:t xml:space="preserve">ntakt pisemny za pomocą poczty tradycyjnej na adres </w:t>
      </w:r>
      <w:r>
        <w:rPr>
          <w:rFonts w:eastAsia="Times New Roman" w:cs="Tahoma"/>
          <w:b w:val="false"/>
          <w:bCs w:val="false"/>
          <w:color w:val="000000"/>
          <w:sz w:val="21"/>
          <w:szCs w:val="21"/>
          <w:shd w:fill="FFFFFF" w:val="clear"/>
          <w:lang w:val="pl-PL" w:eastAsia="pl-PL" w:bidi="ar-SA"/>
        </w:rPr>
        <w:t xml:space="preserve"> S</w:t>
      </w:r>
      <w:r>
        <w:rPr>
          <w:rFonts w:eastAsia="Times New Roman" w:cs="Tahoma"/>
          <w:b w:val="false"/>
          <w:bCs w:val="false"/>
          <w:i/>
          <w:color w:val="000000"/>
          <w:sz w:val="21"/>
          <w:szCs w:val="21"/>
          <w:shd w:fill="FFFFFF" w:val="clear"/>
          <w:lang w:val="pl-PL" w:eastAsia="pl-PL" w:bidi="ar-SA"/>
        </w:rPr>
        <w:t>zpital Powiatowy im. Tadeusza Malińskiego w Śremie sp z o. o. ul. Chełmońskiego 1, 63-100 Śrem</w:t>
      </w:r>
      <w:r>
        <w:rPr>
          <w:rFonts w:eastAsia="Times New Roman" w:cs="Tahoma"/>
          <w:b w:val="false"/>
          <w:bCs w:val="false"/>
          <w:color w:val="000000"/>
          <w:sz w:val="21"/>
          <w:szCs w:val="21"/>
          <w:shd w:fill="FFFFFF" w:val="clear"/>
          <w:lang w:val="pl-PL" w:eastAsia="pl-PL" w:bidi="ar-SA"/>
        </w:rPr>
        <w:t xml:space="preserve"> jest Pan/Pani </w:t>
      </w:r>
      <w:r>
        <w:rPr>
          <w:rFonts w:eastAsia="Times New Roman" w:cs="Tahoma"/>
          <w:b w:val="false"/>
          <w:bCs w:val="false"/>
          <w:i/>
          <w:color w:val="000000"/>
          <w:sz w:val="21"/>
          <w:szCs w:val="21"/>
          <w:shd w:fill="FFFFFF" w:val="clear"/>
          <w:lang w:val="pl-PL" w:eastAsia="pl-PL" w:bidi="ar-SA"/>
        </w:rPr>
        <w:t xml:space="preserve">Tomasz Bartkowiak Tel. Kontaktowy: 61 28 15 562, e-mail: </w:t>
      </w:r>
      <w:r>
        <w:rPr>
          <w:rFonts w:eastAsia="Times New Roman" w:cs="Tahoma"/>
          <w:b w:val="false"/>
          <w:bCs w:val="false"/>
          <w:i/>
          <w:color w:val="000000"/>
          <w:sz w:val="21"/>
          <w:szCs w:val="21"/>
          <w:u w:val="single"/>
          <w:shd w:fill="FFFFFF" w:val="clear"/>
          <w:lang w:val="pl-PL" w:eastAsia="pl-PL" w:bidi="ar-SA"/>
        </w:rPr>
        <w:t>t.bartkowiak@szpital-srem.pl</w:t>
      </w:r>
      <w:r>
        <w:rPr>
          <w:rFonts w:eastAsia="Times New Roman" w:cs="Tahoma"/>
          <w:b w:val="false"/>
          <w:bCs w:val="false"/>
          <w:color w:val="000000"/>
          <w:sz w:val="21"/>
          <w:szCs w:val="21"/>
          <w:u w:val="single"/>
          <w:shd w:fill="FFFFFF" w:val="clear"/>
          <w:lang w:val="pl-PL" w:eastAsia="pl-PL" w:bidi="ar-SA"/>
        </w:rPr>
        <w:t>;</w:t>
      </w:r>
      <w:r>
        <w:rPr>
          <w:rFonts w:eastAsia="Calibri" w:cs="Tahoma"/>
          <w:b w:val="false"/>
          <w:bCs w:val="false"/>
          <w:color w:val="000000"/>
          <w:sz w:val="21"/>
          <w:szCs w:val="21"/>
          <w:u w:val="single"/>
          <w:shd w:fill="FFFFFF" w:val="clear"/>
          <w:lang w:val="pl-PL" w:bidi="ar-SA"/>
        </w:rPr>
        <w:t xml:space="preserve"> </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lang w:val="pl-PL" w:bidi="ar-SA"/>
        </w:rPr>
        <w:t>•</w:t>
      </w:r>
      <w:r>
        <w:rPr>
          <w:rFonts w:eastAsia="Tahoma" w:cs="Tahoma"/>
          <w:b w:val="false"/>
          <w:bCs w:val="false"/>
          <w:color w:val="000000"/>
          <w:sz w:val="21"/>
          <w:szCs w:val="21"/>
          <w:shd w:fill="FFFFFF" w:val="clear"/>
          <w:lang w:val="pl-PL" w:bidi="ar-SA"/>
        </w:rPr>
        <w:t xml:space="preserve"> </w:t>
      </w:r>
      <w:r>
        <w:rPr>
          <w:rFonts w:eastAsia="Calibri" w:cs="Tahoma"/>
          <w:b w:val="false"/>
          <w:bCs w:val="false"/>
          <w:color w:val="000000"/>
          <w:sz w:val="21"/>
          <w:szCs w:val="21"/>
          <w:shd w:fill="FFFFFF" w:val="clear"/>
          <w:lang w:val="pl-PL" w:bidi="ar-SA"/>
        </w:rPr>
        <w:t xml:space="preserve">Pani/Pana dane osobowe przetwarzane będą na podstawie art. 6 ust. 1 lit. c RODO w celu prowadzenia przedmiotowego postępowania o udzielenie zamówienia publicznego oraz zawarcia umowy, a podstawą prawną ich przetwarzania jest obowiązek prawny stosowania sformalizowanych procedur udzielania zamówień publicznych spoczywający na Zamawiającym; </w:t>
      </w:r>
    </w:p>
    <w:p>
      <w:pPr>
        <w:pStyle w:val="Tekstpodstawowy2"/>
        <w:widowControl w:val="false"/>
        <w:spacing w:lineRule="atLeast" w:line="100" w:before="0" w:after="0"/>
        <w:ind w:right="30"/>
        <w:jc w:val="both"/>
        <w:rPr>
          <w:highlight w:val="none"/>
          <w:shd w:fill="FFFFFF" w:val="clear"/>
        </w:rPr>
      </w:pPr>
      <w:r>
        <w:rPr>
          <w:rFonts w:eastAsia="Calibri" w:cs="Tahoma"/>
          <w:b w:val="false"/>
          <w:bCs w:val="false"/>
          <w:color w:val="000000"/>
          <w:sz w:val="21"/>
          <w:szCs w:val="21"/>
          <w:shd w:fill="FFFFFF" w:val="clear"/>
          <w:lang w:val="pl-PL" w:bidi="ar-SA"/>
        </w:rPr>
        <w:t>•</w:t>
      </w:r>
      <w:r>
        <w:rPr>
          <w:rFonts w:eastAsia="Tahoma" w:cs="Tahoma"/>
          <w:b w:val="false"/>
          <w:bCs w:val="false"/>
          <w:color w:val="000000"/>
          <w:sz w:val="21"/>
          <w:szCs w:val="21"/>
          <w:shd w:fill="FFFFFF" w:val="clear"/>
          <w:lang w:val="pl-PL" w:bidi="ar-SA"/>
        </w:rPr>
        <w:t xml:space="preserve"> </w:t>
      </w:r>
      <w:r>
        <w:rPr>
          <w:rFonts w:eastAsia="Calibri" w:cs="Tahoma"/>
          <w:b w:val="false"/>
          <w:bCs w:val="false"/>
          <w:color w:val="000000"/>
          <w:sz w:val="21"/>
          <w:szCs w:val="21"/>
          <w:shd w:fill="FFFFFF" w:val="clear"/>
          <w:lang w:val="pl-PL" w:bidi="ar-SA"/>
        </w:rPr>
        <w:t xml:space="preserve">odbiorcami Pani/Pana danych osobowych będą osoby lub podmioty, którym udostępniona zostanie dokumentacja postępowania w oparciu o art. 18 oraz art. 74 ustawy Pzp;  </w:t>
      </w:r>
      <w:r>
        <w:rPr>
          <w:rFonts w:eastAsia="Calibri" w:cs="Tahoma"/>
          <w:b w:val="false"/>
          <w:bCs w:val="false"/>
          <w:color w:val="000000"/>
          <w:sz w:val="21"/>
          <w:szCs w:val="21"/>
          <w:u w:val="single"/>
          <w:shd w:fill="FFFFFF" w:val="clear"/>
          <w:lang w:val="pl-PL" w:bidi="ar-SA"/>
        </w:rPr>
        <w:t>Dane kontrahentów i wykonawców zaangażowanych w realizację Przedsięwzięcia mogą zostać przekazane celem przetwarzania danych w systemach Arachne i SKANER</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shd w:fill="FFFFFF" w:val="clear"/>
          <w:lang w:val="pl-PL" w:bidi="ar-SA"/>
        </w:rPr>
        <w:t>•</w:t>
      </w:r>
      <w:r>
        <w:rPr>
          <w:rFonts w:eastAsia="Tahoma" w:cs="Tahoma"/>
          <w:b w:val="false"/>
          <w:bCs w:val="false"/>
          <w:color w:val="000000"/>
          <w:sz w:val="21"/>
          <w:szCs w:val="21"/>
          <w:shd w:fill="FFFFFF" w:val="clear"/>
          <w:lang w:val="pl-PL" w:bidi="ar-SA"/>
        </w:rPr>
        <w:t xml:space="preserve"> </w:t>
      </w:r>
      <w:r>
        <w:rPr>
          <w:rFonts w:eastAsia="Calibri" w:cs="Tahoma"/>
          <w:b w:val="false"/>
          <w:bCs w:val="false"/>
          <w:color w:val="000000"/>
          <w:sz w:val="21"/>
          <w:szCs w:val="21"/>
          <w:shd w:fill="FFFFFF" w:val="clear"/>
          <w:lang w:val="pl-PL" w:bidi="ar-SA"/>
        </w:rPr>
        <w:t xml:space="preserve">Pani/Pana dane osobowe będą przechowywane, zgodnie z art. 78 ust. 1 ustawy Pzp, przez okres 4 lat od dnia zakończenia postępowania o udzielenie zamówienia, a jeżeli czas trwania umowy przekracza 4 lata, okres </w:t>
      </w:r>
      <w:r>
        <w:rPr>
          <w:rFonts w:eastAsia="Calibri" w:cs="Tahoma"/>
          <w:b w:val="false"/>
          <w:bCs w:val="false"/>
          <w:color w:val="000000"/>
          <w:sz w:val="21"/>
          <w:szCs w:val="21"/>
          <w:lang w:val="pl-PL" w:bidi="ar-SA"/>
        </w:rPr>
        <w:t xml:space="preserve">przechowywania obejmuje cały czas trwania umowy; </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 xml:space="preserve">w odniesieniu do Pani/Pana danych osobowych decyzje nie będą podejmowane w sposób zautomatyzowany, stosowanie do art. 22 RODO; </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 xml:space="preserve">Posiada Pan/Pani: − na podstawie art. 15 RODO prawo dostępu do danych osobowych Pani/Pana dotyczących; − 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 − 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 − prawo do wniesienia skargi do Prezesa Urzędu Ochrony Danych Osobowych, gdy uzna Pani/Pan, że przetwarzanie danych osobowych Pani/Pana dotyczących narusza przepisy RODO; </w:t>
      </w:r>
    </w:p>
    <w:p>
      <w:pPr>
        <w:pStyle w:val="Tekstpodstawowy2"/>
        <w:widowControl w:val="false"/>
        <w:spacing w:lineRule="atLeast" w:line="100" w:before="0" w:after="0"/>
        <w:ind w:right="30"/>
        <w:jc w:val="both"/>
        <w:rPr>
          <w:rFonts w:eastAsia="Calibri" w:cs="Tahoma"/>
          <w:b w:val="false"/>
          <w:bCs w:val="false"/>
          <w:color w:val="000000"/>
          <w:sz w:val="21"/>
          <w:szCs w:val="21"/>
          <w:lang w:val="pl-PL" w:bidi="ar-SA"/>
        </w:rPr>
      </w:pPr>
      <w:r>
        <w:rPr>
          <w:rFonts w:eastAsia="Calibri" w:cs="Tahoma"/>
          <w:b w:val="false"/>
          <w:bCs w:val="false"/>
          <w:color w:val="000000"/>
          <w:sz w:val="21"/>
          <w:szCs w:val="21"/>
          <w:lang w:val="pl-PL" w:bidi="ar-SA"/>
        </w:rPr>
        <w:t>•</w:t>
      </w:r>
      <w:r>
        <w:rPr>
          <w:rFonts w:eastAsia="Tahoma" w:cs="Tahoma"/>
          <w:b w:val="false"/>
          <w:bCs w:val="false"/>
          <w:color w:val="000000"/>
          <w:sz w:val="21"/>
          <w:szCs w:val="21"/>
          <w:lang w:val="pl-PL" w:bidi="ar-SA"/>
        </w:rPr>
        <w:t xml:space="preserve"> </w:t>
      </w:r>
      <w:r>
        <w:rPr>
          <w:rFonts w:eastAsia="Calibri" w:cs="Tahoma"/>
          <w:b w:val="false"/>
          <w:bCs w:val="false"/>
          <w:color w:val="000000"/>
          <w:sz w:val="21"/>
          <w:szCs w:val="21"/>
          <w:lang w:val="pl-PL" w:bidi="ar-SA"/>
        </w:rPr>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w:t>
      </w:r>
    </w:p>
    <w:p>
      <w:pPr>
        <w:pStyle w:val="Tekstpodstawowy2"/>
        <w:widowControl w:val="false"/>
        <w:spacing w:lineRule="atLeast" w:line="100" w:before="0" w:after="0"/>
        <w:ind w:right="30"/>
        <w:jc w:val="both"/>
        <w:rPr>
          <w:rFonts w:eastAsia="Calibri" w:cs="Tahoma"/>
          <w:b/>
          <w:bCs/>
          <w:strike w:val="false"/>
          <w:dstrike w:val="false"/>
          <w:color w:val="000000"/>
          <w:sz w:val="20"/>
          <w:szCs w:val="20"/>
          <w:u w:val="none"/>
          <w:lang w:val="pl-PL" w:bidi="ar-SA"/>
        </w:rPr>
      </w:pPr>
      <w:r>
        <w:rPr>
          <w:rFonts w:eastAsia="Calibri" w:cs="Tahoma"/>
          <w:b w:val="false"/>
          <w:bCs w:val="false"/>
          <w:color w:val="000000"/>
          <w:sz w:val="21"/>
          <w:szCs w:val="21"/>
          <w:lang w:val="pl-PL" w:bidi="ar-SA"/>
        </w:rPr>
        <w:t>2. Jednocześnie Zamawiający przypomina o ciążącym na Pani/Panu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wyłączeń, o których mowa w art. 14 ust. 5 RODO.</w:t>
      </w:r>
    </w:p>
    <w:tbl>
      <w:tblPr>
        <w:tblW w:w="9676" w:type="dxa"/>
        <w:jc w:val="left"/>
        <w:tblInd w:w="55" w:type="dxa"/>
        <w:tblLayout w:type="fixed"/>
        <w:tblCellMar>
          <w:top w:w="55" w:type="dxa"/>
          <w:left w:w="55" w:type="dxa"/>
          <w:bottom w:w="55" w:type="dxa"/>
          <w:right w:w="55" w:type="dxa"/>
        </w:tblCellMar>
      </w:tblPr>
      <w:tblGrid>
        <w:gridCol w:w="9676"/>
      </w:tblGrid>
      <w:tr>
        <w:trPr/>
        <w:tc>
          <w:tcPr>
            <w:tcW w:w="9676" w:type="dxa"/>
            <w:tcBorders>
              <w:top w:val="single" w:sz="2" w:space="0" w:color="000000"/>
              <w:left w:val="single" w:sz="2" w:space="0" w:color="000000"/>
              <w:bottom w:val="single" w:sz="2" w:space="0" w:color="000000"/>
              <w:right w:val="single" w:sz="2" w:space="0" w:color="000000"/>
            </w:tcBorders>
            <w:shd w:fill="E6E6E6" w:val="clear"/>
          </w:tcPr>
          <w:p>
            <w:pPr>
              <w:pStyle w:val="Tekstpodstawowy2"/>
              <w:spacing w:lineRule="atLeast" w:line="100" w:before="0" w:after="160"/>
              <w:rPr>
                <w:rFonts w:eastAsia="Calibri" w:cs="Tahoma"/>
                <w:b/>
                <w:bCs/>
                <w:strike w:val="false"/>
                <w:dstrike w:val="false"/>
                <w:color w:val="000000"/>
                <w:sz w:val="20"/>
                <w:szCs w:val="20"/>
                <w:u w:val="none"/>
                <w:lang w:val="pl-PL" w:bidi="ar-SA"/>
              </w:rPr>
            </w:pPr>
            <w:r>
              <w:rPr>
                <w:rFonts w:eastAsia="Calibri" w:cs="Tahoma"/>
                <w:b/>
                <w:bCs/>
                <w:strike w:val="false"/>
                <w:dstrike w:val="false"/>
                <w:color w:val="000000"/>
                <w:sz w:val="20"/>
                <w:szCs w:val="20"/>
                <w:u w:val="none"/>
                <w:lang w:val="pl-PL" w:bidi="ar-SA"/>
              </w:rPr>
              <w:t>XXIII. ZAŁĄCZNIKI DO SWZ INTEGRALNĄ CZĘŚCIĄ NINIEJSZEJ SWZ STANOWIĄ NASTĘPUJĄCE ZAŁĄCZNIKI:</w:t>
            </w:r>
          </w:p>
        </w:tc>
      </w:tr>
    </w:tbl>
    <w:p>
      <w:pPr>
        <w:pStyle w:val="Normal"/>
        <w:widowControl w:val="false"/>
        <w:spacing w:lineRule="atLeast" w:line="100" w:before="0" w:after="0"/>
        <w:ind w:right="30"/>
        <w:jc w:val="both"/>
        <w:rPr>
          <w:rFonts w:ascii="Tahoma" w:hAnsi="Tahoma" w:eastAsia="Calibri" w:cs="Tahoma"/>
          <w:b w:val="false"/>
          <w:bCs w:val="false"/>
          <w:color w:val="000000"/>
          <w:sz w:val="21"/>
          <w:szCs w:val="21"/>
        </w:rPr>
      </w:pPr>
      <w:r>
        <w:rPr>
          <w:rFonts w:eastAsia="Calibri" w:cs="Tahoma" w:ascii="Tahoma" w:hAnsi="Tahoma"/>
          <w:b w:val="false"/>
          <w:bCs w:val="false"/>
          <w:color w:val="000000"/>
          <w:sz w:val="21"/>
          <w:szCs w:val="21"/>
        </w:rPr>
      </w:r>
    </w:p>
    <w:p>
      <w:pPr>
        <w:pStyle w:val="Normal"/>
        <w:widowControl w:val="false"/>
        <w:spacing w:lineRule="atLeast" w:line="100" w:before="0" w:after="0"/>
        <w:ind w:right="30"/>
        <w:jc w:val="both"/>
        <w:rPr>
          <w:rFonts w:ascii="Tahoma" w:hAnsi="Tahoma" w:cs="Tahoma"/>
          <w:b w:val="false"/>
          <w:bCs w:val="false"/>
          <w:color w:val="000000"/>
          <w:sz w:val="21"/>
          <w:szCs w:val="21"/>
        </w:rPr>
      </w:pPr>
      <w:r>
        <w:rPr>
          <w:rFonts w:eastAsia="Calibri" w:cs="Tahoma" w:ascii="Tahoma" w:hAnsi="Tahoma"/>
          <w:b w:val="false"/>
          <w:bCs w:val="false"/>
          <w:color w:val="000000"/>
          <w:sz w:val="21"/>
          <w:szCs w:val="21"/>
        </w:rPr>
        <w:t>Załącznik nr 1 -    Formularz ofertowy ( interaktywny do pobrania na platformie e-zamówienia )</w:t>
      </w:r>
    </w:p>
    <w:p>
      <w:pPr>
        <w:pStyle w:val="Normal"/>
        <w:spacing w:before="0" w:after="0"/>
        <w:jc w:val="left"/>
        <w:rPr>
          <w:rFonts w:ascii="Tahoma" w:hAnsi="Tahoma" w:cs="Tahoma"/>
          <w:b w:val="false"/>
          <w:bCs w:val="false"/>
          <w:color w:val="000000"/>
          <w:sz w:val="21"/>
          <w:szCs w:val="21"/>
          <w:lang w:val="pl-PL" w:bidi="ar-SA"/>
        </w:rPr>
      </w:pPr>
      <w:r>
        <w:rPr>
          <w:rFonts w:cs="Tahoma" w:ascii="Tahoma" w:hAnsi="Tahoma"/>
          <w:b w:val="false"/>
          <w:bCs w:val="false"/>
          <w:color w:val="000000"/>
          <w:sz w:val="21"/>
          <w:szCs w:val="21"/>
        </w:rPr>
        <w:t xml:space="preserve">Załącznik nr 1.1 - Arkusz cenowy - </w:t>
      </w:r>
      <w:bookmarkStart w:id="7" w:name="_Hlk884703816"/>
      <w:r>
        <w:rPr>
          <w:rFonts w:cs="Tahoma" w:ascii="Tahoma" w:hAnsi="Tahoma"/>
          <w:b w:val="false"/>
          <w:bCs w:val="false"/>
          <w:color w:val="000000"/>
          <w:sz w:val="21"/>
          <w:szCs w:val="21"/>
          <w:lang w:val="pl-PL" w:bidi="ar-SA"/>
        </w:rPr>
        <w:t>OPIS PRZEDMIOTU ZAMÓWIENIA – FORMULARZ PARAMETRÓW</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lang w:val="pl-PL" w:bidi="ar-SA"/>
        </w:rPr>
        <w:t xml:space="preserve">                         </w:t>
      </w:r>
      <w:r>
        <w:rPr>
          <w:rFonts w:cs="Tahoma" w:ascii="Tahoma" w:hAnsi="Tahoma"/>
          <w:b w:val="false"/>
          <w:bCs w:val="false"/>
          <w:color w:val="000000"/>
          <w:sz w:val="21"/>
          <w:szCs w:val="21"/>
          <w:lang w:val="pl-PL" w:bidi="ar-SA"/>
        </w:rPr>
        <w:t>TECHNICZNYCH</w:t>
      </w:r>
      <w:bookmarkEnd w:id="7"/>
      <w:r>
        <w:rPr>
          <w:rFonts w:cs="Tahoma" w:ascii="Tahoma" w:hAnsi="Tahoma"/>
          <w:b w:val="false"/>
          <w:bCs w:val="false"/>
          <w:color w:val="000000"/>
          <w:sz w:val="21"/>
          <w:szCs w:val="21"/>
          <w:lang w:val="pl-PL" w:bidi="ar-SA"/>
        </w:rPr>
        <w:t xml:space="preserve">- </w:t>
      </w:r>
      <w:r>
        <w:rPr>
          <w:rFonts w:cs="Tahoma" w:ascii="Tahoma" w:hAnsi="Tahoma"/>
          <w:b w:val="false"/>
          <w:bCs w:val="false"/>
          <w:color w:val="000000"/>
          <w:sz w:val="21"/>
          <w:szCs w:val="21"/>
        </w:rPr>
        <w:t xml:space="preserve">MINIMALNE WYMAGANE PARAMETRY I FUNKCJE – PAKIET NR 1-2              </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rPr>
        <w:t xml:space="preserve">Załącznik nr 2 -    JEDZ </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rPr>
        <w:t>Załącznik nr 3 -   Oświadczenie o p</w:t>
      </w:r>
      <w:r>
        <w:rPr>
          <w:rFonts w:eastAsia="Arial Unicode MS" w:cs="Tahoma" w:ascii="Tahoma" w:hAnsi="Tahoma"/>
          <w:b w:val="false"/>
          <w:bCs w:val="false"/>
          <w:color w:val="000000"/>
          <w:sz w:val="21"/>
          <w:szCs w:val="21"/>
        </w:rPr>
        <w:t xml:space="preserve">rzynależności do grupy kapitałowej </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rPr>
        <w:t xml:space="preserve">Załącznik nr 4 -   Formularz oświadczeń </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rPr>
        <w:t>Załącznik nr 5-5A  -  Projekt umowy</w:t>
      </w:r>
    </w:p>
    <w:p>
      <w:pPr>
        <w:pStyle w:val="Normal"/>
        <w:spacing w:before="0" w:after="0"/>
        <w:jc w:val="left"/>
        <w:rPr>
          <w:rFonts w:ascii="Tahoma" w:hAnsi="Tahoma" w:cs="Tahoma"/>
          <w:b w:val="false"/>
          <w:bCs w:val="false"/>
          <w:color w:val="000000"/>
          <w:sz w:val="21"/>
          <w:szCs w:val="21"/>
        </w:rPr>
      </w:pPr>
      <w:r>
        <w:rPr>
          <w:rFonts w:cs="Tahoma" w:ascii="Tahoma" w:hAnsi="Tahoma"/>
          <w:b w:val="false"/>
          <w:bCs w:val="false"/>
          <w:color w:val="000000"/>
          <w:sz w:val="21"/>
          <w:szCs w:val="21"/>
        </w:rPr>
        <w:t>Załącznik nr 6 -   Oświadczenie sankcyjne</w:t>
      </w:r>
    </w:p>
    <w:p>
      <w:pPr>
        <w:pStyle w:val="Normal"/>
        <w:spacing w:before="0" w:after="0"/>
        <w:jc w:val="left"/>
        <w:rPr/>
      </w:pPr>
      <w:r>
        <w:rPr>
          <w:rFonts w:cs="Tahoma" w:ascii="Tahoma" w:hAnsi="Tahoma"/>
          <w:b w:val="false"/>
          <w:bCs w:val="false"/>
          <w:color w:val="000000"/>
          <w:sz w:val="21"/>
          <w:szCs w:val="21"/>
        </w:rPr>
        <w:t>Załącznik nr 7 -   Oświadczenie o aktualności</w:t>
      </w:r>
      <w:r>
        <w:rPr>
          <w:rFonts w:eastAsia="Tahoma" w:cs="Tahoma" w:ascii="Tahoma" w:hAnsi="Tahoma"/>
          <w:b/>
          <w:bCs/>
          <w:i/>
          <w:color w:val="000000"/>
          <w:sz w:val="21"/>
          <w:szCs w:val="21"/>
          <w:lang w:val="pl-PL" w:bidi="ar-SA"/>
        </w:rPr>
        <w:t xml:space="preserve"> </w:t>
      </w:r>
      <w:r>
        <w:rPr>
          <w:rFonts w:eastAsia="Calibri" w:cs="Tahoma" w:ascii="Tahoma" w:hAnsi="Tahoma"/>
          <w:b/>
          <w:bCs/>
          <w:color w:val="000000"/>
          <w:sz w:val="21"/>
          <w:szCs w:val="21"/>
          <w:lang w:val="pl-PL" w:bidi="ar-SA"/>
        </w:rPr>
        <w:tab/>
        <w:t xml:space="preserve">                          </w:t>
      </w:r>
      <w:r>
        <w:rPr>
          <w:rFonts w:eastAsia="Calibri" w:cs="Tahoma" w:ascii="Tahoma" w:hAnsi="Tahoma"/>
          <w:b/>
          <w:bCs/>
          <w:i/>
          <w:color w:val="000000"/>
          <w:sz w:val="21"/>
          <w:szCs w:val="21"/>
          <w:lang w:val="pl-PL" w:bidi="ar-SA"/>
        </w:rPr>
        <w:t xml:space="preserve">                                                                       </w:t>
      </w:r>
      <w:r>
        <w:rPr>
          <w:rFonts w:eastAsia="Calibri" w:cs="Tahoma" w:ascii="Tahoma" w:hAnsi="Tahoma"/>
          <w:b/>
          <w:bCs/>
          <w:i/>
          <w:color w:val="000000"/>
          <w:sz w:val="20"/>
          <w:szCs w:val="20"/>
          <w:lang w:val="pl-PL" w:bidi="ar-SA"/>
        </w:rPr>
        <w:t xml:space="preserve">                                          </w:t>
      </w:r>
    </w:p>
    <w:sectPr>
      <w:headerReference w:type="even" r:id="rId9"/>
      <w:headerReference w:type="default" r:id="rId10"/>
      <w:headerReference w:type="first" r:id="rId11"/>
      <w:footerReference w:type="even" r:id="rId12"/>
      <w:footerReference w:type="default" r:id="rId13"/>
      <w:footerReference w:type="first" r:id="rId14"/>
      <w:type w:val="nextPage"/>
      <w:pgSz w:w="11906" w:h="16838"/>
      <w:pgMar w:left="1110" w:right="890" w:gutter="0" w:header="709" w:top="907" w:footer="0" w:bottom="658"/>
      <w:pgNumType w:fmt="decimal"/>
      <w:formProt w:val="false"/>
      <w:textDirection w:val="lrTb"/>
      <w:docGrid w:type="default" w:linePitch="299"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swiss"/>
    <w:pitch w:val="variable"/>
  </w:font>
  <w:font w:name="Tahoma">
    <w:charset w:val="ee"/>
    <w:family w:val="swiss"/>
    <w:pitch w:val="variable"/>
  </w:font>
  <w:font w:name="Symbol">
    <w:charset w:val="ee"/>
    <w:family w:val="roman"/>
    <w:pitch w:val="variable"/>
  </w:font>
  <w:font w:name="Times New Roman">
    <w:charset w:val="ee"/>
    <w:family w:val="roman"/>
    <w:pitch w:val="variable"/>
  </w:font>
  <w:font w:name="Verdana">
    <w:charset w:val="ee"/>
    <w:family w:val="swiss"/>
    <w:pitch w:val="variable"/>
  </w:font>
  <w:font w:name="Segoe UI">
    <w:charset w:val="ee"/>
    <w:family w:val="swiss"/>
    <w:pitch w:val="variable"/>
  </w:font>
  <w:font w:name="Courier New">
    <w:charset w:val="ee"/>
    <w:family w:val="roman"/>
    <w:pitch w:val="variable"/>
  </w:font>
  <w:font w:name="Wingdings">
    <w:charset w:val="ee"/>
    <w:family w:val="roman"/>
    <w:pitch w:val="variable"/>
  </w:font>
  <w:font w:name="Ottawa">
    <w:charset w:val="ee"/>
    <w:family w:val="roman"/>
    <w:pitch w:val="variable"/>
  </w:font>
  <w:font w:name="Arial">
    <w:charset w:val="ee"/>
    <w:family w:val="swiss"/>
    <w:pitch w:val="variable"/>
  </w:font>
  <w:font w:name="Goudy Old Style CE ATT">
    <w:charset w:val="ee"/>
    <w:family w:val="roman"/>
    <w:pitch w:val="variable"/>
  </w:font>
  <w:font w:name="Liberation Sans">
    <w:altName w:val="Arial"/>
    <w:charset w:val="ee"/>
    <w:family w:val="swiss"/>
    <w:pitch w:val="variable"/>
  </w:font>
  <w:font w:name="Constantia">
    <w:charset w:val="ee"/>
    <w:family w:val="roman"/>
    <w:pitch w:val="variable"/>
  </w:font>
  <w:font w:name="Franklin Gothic Demi">
    <w:charset w:val="ee"/>
    <w:family w:val="swiss"/>
    <w:pitch w:val="variable"/>
  </w:font>
  <w:font w:name="Humnst777CnEU">
    <w:charset w:val="ee"/>
    <w:family w:val="swiss"/>
    <w:pitch w:val="variable"/>
  </w:font>
  <w:font w:name="CG Times">
    <w:charset w:val="ee"/>
    <w:family w:val="roman"/>
    <w:pitch w:val="variable"/>
  </w:font>
  <w:font w:name="Helvetica">
    <w:altName w:val="Arial"/>
    <w:charset w:val="ee"/>
    <w:family w:val="roman"/>
    <w:pitch w:val="variable"/>
  </w:font>
  <w:font w:name="Arial Narrow">
    <w:charset w:val="ee"/>
    <w:family w:val="swiss"/>
    <w:pitch w:val="variable"/>
  </w:font>
  <w:font w:name="Cambria">
    <w:charset w:val="ee"/>
    <w:family w:val="roman"/>
    <w:pitch w:val="variable"/>
  </w:font>
  <w:font w:name="Calibri Light">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cs="Calibri Light"/>
        <w:sz w:val="28"/>
        <w:szCs w:val="28"/>
        <w:lang w:val="pl-PL"/>
      </w:rPr>
    </w:pPr>
    <w:r>
      <w:rPr>
        <w:rFonts w:cs="Calibri Light" w:ascii="Calibri Light" w:hAnsi="Calibri Light"/>
        <w:sz w:val="28"/>
        <w:szCs w:val="28"/>
        <w:lang w:val="pl-PL"/>
      </w:rPr>
      <w:t xml:space="preserve">str. </w:t>
    </w:r>
    <w:r>
      <w:rPr>
        <w:lang w:val="pl-PL"/>
      </w:rPr>
      <w:fldChar w:fldCharType="begin"/>
    </w:r>
    <w:r>
      <w:rPr>
        <w:lang w:val="pl-PL"/>
      </w:rPr>
      <w:instrText xml:space="preserve"> PAGE </w:instrText>
    </w:r>
    <w:r>
      <w:rPr>
        <w:lang w:val="pl-PL"/>
      </w:rPr>
      <w:fldChar w:fldCharType="separate"/>
    </w:r>
    <w:r>
      <w:rPr>
        <w:lang w:val="pl-PL"/>
      </w:rPr>
      <w:t>24</w:t>
    </w:r>
    <w:r>
      <w:rPr>
        <w:lang w:val="pl-PL"/>
      </w:rPr>
      <w:fldChar w:fldCharType="end"/>
    </w:r>
  </w:p>
  <w:p>
    <w:pPr>
      <w:pStyle w:val="Footer"/>
      <w:rPr>
        <w:rFonts w:ascii="Calibri Light" w:hAnsi="Calibri Light" w:cs="Calibri Light"/>
        <w:sz w:val="28"/>
        <w:szCs w:val="28"/>
        <w:lang w:val="pl-PL"/>
      </w:rPr>
    </w:pPr>
    <w:r>
      <w:rPr>
        <w:rFonts w:cs="Calibri Light" w:ascii="Calibri Light" w:hAnsi="Calibri Light"/>
        <w:sz w:val="28"/>
        <w:szCs w:val="28"/>
        <w:lang w:val="pl-PL"/>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cs="Calibri Light"/>
        <w:sz w:val="28"/>
        <w:szCs w:val="28"/>
        <w:lang w:val="pl-PL"/>
      </w:rPr>
    </w:pPr>
    <w:r>
      <w:rPr>
        <w:rFonts w:cs="Calibri Light" w:ascii="Calibri Light" w:hAnsi="Calibri Light"/>
        <w:sz w:val="28"/>
        <w:szCs w:val="28"/>
        <w:lang w:val="pl-PL"/>
      </w:rPr>
      <w:t xml:space="preserve">str. </w:t>
    </w:r>
    <w:r>
      <w:rPr>
        <w:lang w:val="pl-PL"/>
      </w:rPr>
      <w:fldChar w:fldCharType="begin"/>
    </w:r>
    <w:r>
      <w:rPr>
        <w:lang w:val="pl-PL"/>
      </w:rPr>
      <w:instrText xml:space="preserve"> PAGE </w:instrText>
    </w:r>
    <w:r>
      <w:rPr>
        <w:lang w:val="pl-PL"/>
      </w:rPr>
      <w:fldChar w:fldCharType="separate"/>
    </w:r>
    <w:r>
      <w:rPr>
        <w:lang w:val="pl-PL"/>
      </w:rPr>
      <w:t>24</w:t>
    </w:r>
    <w:r>
      <w:rPr>
        <w:lang w:val="pl-PL"/>
      </w:rPr>
      <w:fldChar w:fldCharType="end"/>
    </w:r>
  </w:p>
  <w:p>
    <w:pPr>
      <w:pStyle w:val="Footer"/>
      <w:rPr>
        <w:rFonts w:ascii="Calibri Light" w:hAnsi="Calibri Light" w:cs="Calibri Light"/>
        <w:sz w:val="28"/>
        <w:szCs w:val="28"/>
        <w:lang w:val="pl-PL"/>
      </w:rPr>
    </w:pPr>
    <w:r>
      <w:rPr>
        <w:rFonts w:cs="Calibri Light" w:ascii="Calibri Light" w:hAnsi="Calibri Light"/>
        <w:sz w:val="28"/>
        <w:szCs w:val="28"/>
        <w:lang w:val="pl-PL"/>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suppressAutoHyphens w:val="true"/>
      <w:overflowPunct w:val="false"/>
      <w:bidi w:val="0"/>
      <w:spacing w:lineRule="auto" w:line="240" w:before="0" w:after="0"/>
      <w:ind w:right="0"/>
      <w:jc w:val="center"/>
      <w:rPr>
        <w:rFonts w:cs="Calibri"/>
        <w:lang w:val="pl-PL" w:eastAsia="pl-PL"/>
      </w:rPr>
    </w:pPr>
    <w:r>
      <w:rPr/>
      <w:drawing>
        <wp:inline distT="0" distB="0" distL="0" distR="0">
          <wp:extent cx="6157595" cy="655320"/>
          <wp:effectExtent l="0" t="0" r="0" b="0"/>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1"/>
                  <a:srcRect l="-233" t="-2333" r="-233" b="-2333"/>
                  <a:stretch>
                    <a:fillRect/>
                  </a:stretch>
                </pic:blipFill>
                <pic:spPr bwMode="auto">
                  <a:xfrm>
                    <a:off x="0" y="0"/>
                    <a:ext cx="6157595" cy="655320"/>
                  </a:xfrm>
                  <a:prstGeom prst="rect">
                    <a:avLst/>
                  </a:prstGeom>
                  <a:noFill/>
                </pic:spPr>
              </pic:pic>
            </a:graphicData>
          </a:graphic>
        </wp:inline>
      </w:drawing>
    </w:r>
    <w:r>
      <w:rPr>
        <w:rFonts w:cs="Calibri"/>
        <w:lang w:val="pl-PL" w:eastAsia="pl-PL"/>
      </w:rPr>
      <w:t xml:space="preserve">                                                                            </w:t>
    </w:r>
  </w:p>
  <w:p>
    <w:pPr>
      <w:pStyle w:val="Header"/>
      <w:widowControl/>
      <w:suppressAutoHyphens w:val="true"/>
      <w:overflowPunct w:val="false"/>
      <w:bidi w:val="0"/>
      <w:spacing w:lineRule="auto" w:line="240" w:before="0" w:after="0"/>
      <w:ind w:right="0"/>
      <w:jc w:val="both"/>
      <w:rPr>
        <w:rFonts w:cs="Calibri"/>
        <w:lang w:val="pl-PL" w:eastAsia="pl-PL"/>
      </w:rPr>
    </w:pPr>
    <w:r>
      <w:rPr>
        <w:rFonts w:cs="Calibri"/>
        <w:lang w:val="pl-PL" w:eastAsia="pl-PL"/>
      </w:rPr>
      <w:t xml:space="preserve">                         </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suppressAutoHyphens w:val="true"/>
      <w:overflowPunct w:val="false"/>
      <w:bidi w:val="0"/>
      <w:spacing w:lineRule="auto" w:line="240" w:before="0" w:after="0"/>
      <w:ind w:right="0"/>
      <w:jc w:val="center"/>
      <w:rPr>
        <w:rFonts w:cs="Calibri"/>
        <w:lang w:val="pl-PL" w:eastAsia="pl-PL"/>
      </w:rPr>
    </w:pPr>
    <w:r>
      <w:rPr/>
      <w:drawing>
        <wp:inline distT="0" distB="0" distL="0" distR="0">
          <wp:extent cx="6157595" cy="655320"/>
          <wp:effectExtent l="0" t="0" r="0" b="0"/>
          <wp:docPr id="3"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2"/>
                  <pic:cNvPicPr>
                    <a:picLocks noChangeAspect="1" noChangeArrowheads="1"/>
                  </pic:cNvPicPr>
                </pic:nvPicPr>
                <pic:blipFill>
                  <a:blip r:embed="rId1"/>
                  <a:srcRect l="-233" t="-2333" r="-233" b="-2333"/>
                  <a:stretch>
                    <a:fillRect/>
                  </a:stretch>
                </pic:blipFill>
                <pic:spPr bwMode="auto">
                  <a:xfrm>
                    <a:off x="0" y="0"/>
                    <a:ext cx="6157595" cy="655320"/>
                  </a:xfrm>
                  <a:prstGeom prst="rect">
                    <a:avLst/>
                  </a:prstGeom>
                  <a:noFill/>
                </pic:spPr>
              </pic:pic>
            </a:graphicData>
          </a:graphic>
        </wp:inline>
      </w:drawing>
    </w:r>
    <w:r>
      <w:rPr>
        <w:rFonts w:cs="Calibri"/>
        <w:lang w:val="pl-PL" w:eastAsia="pl-PL"/>
      </w:rPr>
      <w:t xml:space="preserve">                                                                            </w:t>
    </w:r>
  </w:p>
  <w:p>
    <w:pPr>
      <w:pStyle w:val="Header"/>
      <w:widowControl/>
      <w:suppressAutoHyphens w:val="true"/>
      <w:overflowPunct w:val="false"/>
      <w:bidi w:val="0"/>
      <w:spacing w:lineRule="auto" w:line="240" w:before="0" w:after="0"/>
      <w:ind w:right="0"/>
      <w:jc w:val="both"/>
      <w:rPr>
        <w:rFonts w:cs="Calibri"/>
        <w:lang w:val="pl-PL" w:eastAsia="pl-PL"/>
      </w:rPr>
    </w:pPr>
    <w:r>
      <w:rPr>
        <w:rFonts w:cs="Calibri"/>
        <w:lang w:val="pl-PL" w:eastAsia="pl-PL"/>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0" w:hanging="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0" w:hanging="0"/>
      </w:pPr>
      <w:rPr/>
    </w:lvl>
    <w:lvl w:ilvl="5">
      <w:start w:val="1"/>
      <w:numFmt w:val="none"/>
      <w:suff w:val="nothing"/>
      <w:lvlText w:val="%6"/>
      <w:lvlJc w:val="left"/>
      <w:pPr>
        <w:tabs>
          <w:tab w:val="num" w:pos="0"/>
        </w:tabs>
        <w:ind w:left="0" w:hanging="0"/>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0" w:hanging="0"/>
      </w:pPr>
      <w:rPr/>
    </w:lvl>
    <w:lvl w:ilvl="8">
      <w:start w:val="1"/>
      <w:numFmt w:val="none"/>
      <w:suff w:val="nothing"/>
      <w:lvlText w:val="%9"/>
      <w:lvlJc w:val="left"/>
      <w:pPr>
        <w:tabs>
          <w:tab w:val="num" w:pos="0"/>
        </w:tabs>
        <w:ind w:left="0" w:hanging="0"/>
      </w:pPr>
      <w:rPr/>
    </w:lvl>
  </w:abstractNum>
  <w:abstractNum w:abstractNumId="2">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4">
    <w:lvl w:ilvl="0">
      <w:start w:val="1"/>
      <w:numFmt w:val="lowerLetter"/>
      <w:lvlText w:val="%1)"/>
      <w:lvlJc w:val="left"/>
      <w:pPr>
        <w:tabs>
          <w:tab w:val="num" w:pos="720"/>
        </w:tabs>
        <w:ind w:left="720" w:hanging="360"/>
      </w:pPr>
      <w:rPr/>
    </w:lvl>
    <w:lvl w:ilvl="1">
      <w:start w:val="1"/>
      <w:numFmt w:val="lowerLetter"/>
      <w:lvlText w:val="%2)"/>
      <w:lvlJc w:val="left"/>
      <w:pPr>
        <w:tabs>
          <w:tab w:val="num" w:pos="1080"/>
        </w:tabs>
        <w:ind w:left="1080" w:hanging="360"/>
      </w:pPr>
      <w:rPr/>
    </w:lvl>
    <w:lvl w:ilvl="2">
      <w:start w:val="1"/>
      <w:numFmt w:val="lowerLetter"/>
      <w:lvlText w:val="%3)"/>
      <w:lvlJc w:val="left"/>
      <w:pPr>
        <w:tabs>
          <w:tab w:val="num" w:pos="1440"/>
        </w:tabs>
        <w:ind w:left="1440" w:hanging="360"/>
      </w:pPr>
      <w:rPr/>
    </w:lvl>
    <w:lvl w:ilvl="3">
      <w:start w:val="1"/>
      <w:numFmt w:val="lowerLetter"/>
      <w:lvlText w:val="%4)"/>
      <w:lvlJc w:val="left"/>
      <w:pPr>
        <w:tabs>
          <w:tab w:val="num" w:pos="1800"/>
        </w:tabs>
        <w:ind w:left="1800" w:hanging="360"/>
      </w:pPr>
      <w:rPr/>
    </w:lvl>
    <w:lvl w:ilvl="4">
      <w:start w:val="1"/>
      <w:numFmt w:val="lowerLetter"/>
      <w:lvlText w:val="%5)"/>
      <w:lvlJc w:val="left"/>
      <w:pPr>
        <w:tabs>
          <w:tab w:val="num" w:pos="2160"/>
        </w:tabs>
        <w:ind w:left="2160" w:hanging="360"/>
      </w:pPr>
      <w:rPr/>
    </w:lvl>
    <w:lvl w:ilvl="5">
      <w:start w:val="1"/>
      <w:numFmt w:val="lowerLetter"/>
      <w:lvlText w:val="%6)"/>
      <w:lvlJc w:val="left"/>
      <w:pPr>
        <w:tabs>
          <w:tab w:val="num" w:pos="2520"/>
        </w:tabs>
        <w:ind w:left="2520" w:hanging="360"/>
      </w:pPr>
      <w:rPr/>
    </w:lvl>
    <w:lvl w:ilvl="6">
      <w:start w:val="1"/>
      <w:numFmt w:val="lowerLetter"/>
      <w:lvlText w:val="%7)"/>
      <w:lvlJc w:val="left"/>
      <w:pPr>
        <w:tabs>
          <w:tab w:val="num" w:pos="2880"/>
        </w:tabs>
        <w:ind w:left="2880" w:hanging="360"/>
      </w:pPr>
      <w:rPr/>
    </w:lvl>
    <w:lvl w:ilvl="7">
      <w:start w:val="1"/>
      <w:numFmt w:val="lowerLetter"/>
      <w:lvlText w:val="%8)"/>
      <w:lvlJc w:val="left"/>
      <w:pPr>
        <w:tabs>
          <w:tab w:val="num" w:pos="3240"/>
        </w:tabs>
        <w:ind w:left="3240" w:hanging="360"/>
      </w:pPr>
      <w:rPr/>
    </w:lvl>
    <w:lvl w:ilvl="8">
      <w:start w:val="1"/>
      <w:numFmt w:val="lowerLetter"/>
      <w:lvlText w:val="%9)"/>
      <w:lvlJc w:val="left"/>
      <w:pPr>
        <w:tabs>
          <w:tab w:val="num" w:pos="3600"/>
        </w:tabs>
        <w:ind w:left="3600" w:hanging="36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isplayBackgroundShape/>
  <w:defaultTabStop w:val="708"/>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l-PL" w:eastAsia="zh-CN" w:bidi="hi-IN"/>
      </w:rPr>
    </w:rPrDefault>
    <w:pPrDefault>
      <w:pPr>
        <w:suppressAutoHyphens w:val="true"/>
      </w:pPr>
    </w:pPrDefault>
  </w:docDefaults>
  <w:style w:type="paragraph" w:styleId="Normal">
    <w:name w:val="Normal"/>
    <w:qFormat/>
    <w:pPr>
      <w:widowControl/>
      <w:suppressAutoHyphens w:val="true"/>
      <w:overflowPunct w:val="false"/>
      <w:bidi w:val="0"/>
      <w:spacing w:lineRule="auto" w:line="252" w:before="0" w:after="160"/>
      <w:jc w:val="left"/>
    </w:pPr>
    <w:rPr>
      <w:rFonts w:ascii="Calibri" w:hAnsi="Calibri" w:eastAsia="Calibri" w:cs="Times New Roman"/>
      <w:color w:val="auto"/>
      <w:kern w:val="0"/>
      <w:sz w:val="22"/>
      <w:szCs w:val="22"/>
      <w:lang w:val="pl-PL" w:eastAsia="zh-CN" w:bidi="ar-SA"/>
    </w:rPr>
  </w:style>
  <w:style w:type="paragraph" w:styleId="Heading1">
    <w:name w:val="heading 1"/>
    <w:basedOn w:val="Normal"/>
    <w:next w:val="Normal"/>
    <w:qFormat/>
    <w:pPr>
      <w:keepNext w:val="true"/>
      <w:numPr>
        <w:ilvl w:val="0"/>
        <w:numId w:val="0"/>
      </w:numPr>
      <w:ind w:hanging="0" w:left="0" w:right="0"/>
      <w:jc w:val="center"/>
      <w:outlineLvl w:val="0"/>
    </w:pPr>
    <w:rPr>
      <w:b/>
      <w:bCs/>
      <w:u w:val="single"/>
    </w:rPr>
  </w:style>
  <w:style w:type="paragraph" w:styleId="Heading2">
    <w:name w:val="heading 2"/>
    <w:basedOn w:val="Normal"/>
    <w:next w:val="Normal"/>
    <w:qFormat/>
    <w:pPr>
      <w:keepNext w:val="true"/>
      <w:numPr>
        <w:ilvl w:val="1"/>
        <w:numId w:val="1"/>
      </w:numPr>
      <w:suppressAutoHyphens w:val="true"/>
      <w:jc w:val="right"/>
      <w:outlineLvl w:val="1"/>
    </w:pPr>
    <w:rPr>
      <w:rFonts w:ascii="Tahoma" w:hAnsi="Tahoma" w:cs="Tahoma"/>
      <w:b/>
      <w:bCs/>
      <w:sz w:val="20"/>
    </w:rPr>
  </w:style>
  <w:style w:type="character" w:styleId="WW8Num3z1">
    <w:name w:val="WW8Num3z1"/>
    <w:qFormat/>
    <w:rPr>
      <w:b/>
    </w:rPr>
  </w:style>
  <w:style w:type="character" w:styleId="WW8Num3z2">
    <w:name w:val="WW8Num3z2"/>
    <w:qFormat/>
    <w:rPr>
      <w:b w:val="false"/>
      <w:bCs w:val="false"/>
    </w:rPr>
  </w:style>
  <w:style w:type="character" w:styleId="WW8Num3z3">
    <w:name w:val="WW8Num3z3"/>
    <w:qFormat/>
    <w:rPr>
      <w:b w:val="false"/>
      <w:bCs/>
    </w:rPr>
  </w:style>
  <w:style w:type="character" w:styleId="WW8Num2z0">
    <w:name w:val="WW8Num2z0"/>
    <w:qFormat/>
    <w:rPr>
      <w:b w:val="false"/>
    </w:rPr>
  </w:style>
  <w:style w:type="character" w:styleId="WW8Num3z0">
    <w:name w:val="WW8Num3z0"/>
    <w:qFormat/>
    <w:rPr>
      <w:rFonts w:ascii="Symbol" w:hAnsi="Symbol" w:cs="Tahoma"/>
      <w:b w:val="false"/>
      <w:bCs w:val="false"/>
      <w:sz w:val="20"/>
      <w:szCs w:val="20"/>
    </w:rPr>
  </w:style>
  <w:style w:type="character" w:styleId="WW8Num4z0">
    <w:name w:val="WW8Num4z0"/>
    <w:qFormat/>
    <w:rPr>
      <w:rFonts w:ascii="Tahoma" w:hAnsi="Tahoma" w:cs="Tahoma"/>
      <w:b w:val="false"/>
      <w:bCs w:val="false"/>
      <w:sz w:val="20"/>
      <w:szCs w:val="20"/>
    </w:rPr>
  </w:style>
  <w:style w:type="character" w:styleId="WW8Num5z0">
    <w:name w:val="WW8Num5z0"/>
    <w:qFormat/>
    <w:rPr>
      <w:b w:val="false"/>
      <w:bCs w:val="false"/>
    </w:rPr>
  </w:style>
  <w:style w:type="character" w:styleId="WW8Num8z0">
    <w:name w:val="WW8Num8z0"/>
    <w:qFormat/>
    <w:rPr>
      <w:rFonts w:ascii="Times New Roman" w:hAnsi="Times New Roman" w:eastAsia="Times New Roman" w:cs="Times New Roman"/>
      <w:b w:val="false"/>
      <w:bCs/>
      <w:sz w:val="20"/>
      <w:szCs w:val="20"/>
    </w:rPr>
  </w:style>
  <w:style w:type="character" w:styleId="WW8Num8z1">
    <w:name w:val="WW8Num8z1"/>
    <w:qFormat/>
    <w:rPr>
      <w:b w:val="false"/>
      <w:bCs/>
    </w:rPr>
  </w:style>
  <w:style w:type="character" w:styleId="WW8Num11z0">
    <w:name w:val="WW8Num11z0"/>
    <w:qFormat/>
    <w:rPr>
      <w:b/>
    </w:rPr>
  </w:style>
  <w:style w:type="character" w:styleId="WW8Num11z1">
    <w:name w:val="WW8Num11z1"/>
    <w:qFormat/>
    <w:rPr>
      <w:b w:val="false"/>
      <w:bCs/>
    </w:rPr>
  </w:style>
  <w:style w:type="character" w:styleId="WW8Num12z2">
    <w:name w:val="WW8Num12z2"/>
    <w:qFormat/>
    <w:rPr>
      <w:b w:val="false"/>
      <w:bCs/>
    </w:rPr>
  </w:style>
  <w:style w:type="character" w:styleId="WW8Num13z0">
    <w:name w:val="WW8Num13z0"/>
    <w:qFormat/>
    <w:rPr>
      <w:rFonts w:ascii="Times New Roman" w:hAnsi="Times New Roman" w:cs="Times New Roman"/>
    </w:rPr>
  </w:style>
  <w:style w:type="character" w:styleId="WW8Num6z0">
    <w:name w:val="WW8Num6z0"/>
    <w:qFormat/>
    <w:rPr>
      <w:rFonts w:ascii="Calibri" w:hAnsi="Calibri" w:cs="Calibri"/>
      <w:color w:val="000000"/>
      <w:sz w:val="20"/>
      <w:szCs w:val="20"/>
    </w:rPr>
  </w:style>
  <w:style w:type="character" w:styleId="WW8Num6z1">
    <w:name w:val="WW8Num6z1"/>
    <w:qFormat/>
    <w:rPr>
      <w:rFonts w:ascii="Verdana" w:hAnsi="Verdana" w:cs="Verdana"/>
      <w:b w:val="false"/>
      <w:color w:val="000000"/>
    </w:rPr>
  </w:style>
  <w:style w:type="character" w:styleId="WW8Num6z2">
    <w:name w:val="WW8Num6z2"/>
    <w:qFormat/>
    <w:rPr>
      <w:b w:val="false"/>
      <w:i w:val="false"/>
      <w:color w:val="000000"/>
    </w:rPr>
  </w:style>
  <w:style w:type="character" w:styleId="WW8Num6z3">
    <w:name w:val="WW8Num6z3"/>
    <w:qFormat/>
    <w:rPr>
      <w:b w:val="false"/>
    </w:rPr>
  </w:style>
  <w:style w:type="character" w:styleId="WW8Num6z4">
    <w:name w:val="WW8Num6z4"/>
    <w:qFormat/>
    <w:rPr>
      <w:rFonts w:ascii="Calibri" w:hAnsi="Calibri" w:cs="Calibri"/>
      <w:color w:val="000000"/>
    </w:rPr>
  </w:style>
  <w:style w:type="character" w:styleId="WW8Num10z0">
    <w:name w:val="WW8Num10z0"/>
    <w:qFormat/>
    <w:rPr>
      <w:b/>
    </w:rPr>
  </w:style>
  <w:style w:type="character" w:styleId="WW8Num10z1">
    <w:name w:val="WW8Num10z1"/>
    <w:qFormat/>
    <w:rPr>
      <w:b w:val="false"/>
      <w:bC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7z0">
    <w:name w:val="WW8Num7z0"/>
    <w:qFormat/>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style>
  <w:style w:type="character" w:styleId="WW8Num9z1">
    <w:name w:val="WW8Num9z1"/>
    <w:qFormat/>
    <w:rPr/>
  </w:style>
  <w:style w:type="character" w:styleId="WW8Num9z2">
    <w:name w:val="WW8Num9z2"/>
    <w:qFormat/>
    <w:rPr/>
  </w:style>
  <w:style w:type="character" w:styleId="WW8Num9z3">
    <w:name w:val="WW8Num9z3"/>
    <w:qFormat/>
    <w:rPr/>
  </w:style>
  <w:style w:type="character" w:styleId="WW8Num9z4">
    <w:name w:val="WW8Num9z4"/>
    <w:qFormat/>
    <w:rPr/>
  </w:style>
  <w:style w:type="character" w:styleId="WW8Num9z5">
    <w:name w:val="WW8Num9z5"/>
    <w:qFormat/>
    <w:rPr/>
  </w:style>
  <w:style w:type="character" w:styleId="WW8Num9z6">
    <w:name w:val="WW8Num9z6"/>
    <w:qFormat/>
    <w:rPr/>
  </w:style>
  <w:style w:type="character" w:styleId="WW8Num9z7">
    <w:name w:val="WW8Num9z7"/>
    <w:qFormat/>
    <w:rPr/>
  </w:style>
  <w:style w:type="character" w:styleId="WW8Num9z8">
    <w:name w:val="WW8Num9z8"/>
    <w:qFormat/>
    <w:rPr/>
  </w:style>
  <w:style w:type="character" w:styleId="WW8Num10z2">
    <w:name w:val="WW8Num10z2"/>
    <w:qFormat/>
    <w:rPr/>
  </w:style>
  <w:style w:type="character" w:styleId="WW8Num10z3">
    <w:name w:val="WW8Num10z3"/>
    <w:qFormat/>
    <w:rPr/>
  </w:style>
  <w:style w:type="character" w:styleId="WW8Num10z4">
    <w:name w:val="WW8Num10z4"/>
    <w:qFormat/>
    <w:rPr/>
  </w:style>
  <w:style w:type="character" w:styleId="WW8Num10z5">
    <w:name w:val="WW8Num10z5"/>
    <w:qFormat/>
    <w:rPr/>
  </w:style>
  <w:style w:type="character" w:styleId="WW8Num10z6">
    <w:name w:val="WW8Num10z6"/>
    <w:qFormat/>
    <w:rPr/>
  </w:style>
  <w:style w:type="character" w:styleId="WW8Num10z7">
    <w:name w:val="WW8Num10z7"/>
    <w:qFormat/>
    <w:rPr/>
  </w:style>
  <w:style w:type="character" w:styleId="WW8Num10z8">
    <w:name w:val="WW8Num10z8"/>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style>
  <w:style w:type="character" w:styleId="WW8Num12z1">
    <w:name w:val="WW8Num12z1"/>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style>
  <w:style w:type="character" w:styleId="WW8Num14z1">
    <w:name w:val="WW8Num14z1"/>
    <w:qFormat/>
    <w:rPr/>
  </w:style>
  <w:style w:type="character" w:styleId="WW8Num14z2">
    <w:name w:val="WW8Num14z2"/>
    <w:qFormat/>
    <w:rPr/>
  </w:style>
  <w:style w:type="character" w:styleId="WW8Num14z3">
    <w:name w:val="WW8Num14z3"/>
    <w:qFormat/>
    <w:rPr/>
  </w:style>
  <w:style w:type="character" w:styleId="WW8Num14z4">
    <w:name w:val="WW8Num14z4"/>
    <w:qFormat/>
    <w:rPr/>
  </w:style>
  <w:style w:type="character" w:styleId="WW8Num14z5">
    <w:name w:val="WW8Num14z5"/>
    <w:qFormat/>
    <w:rPr/>
  </w:style>
  <w:style w:type="character" w:styleId="WW8Num14z6">
    <w:name w:val="WW8Num14z6"/>
    <w:qFormat/>
    <w:rPr/>
  </w:style>
  <w:style w:type="character" w:styleId="WW8Num14z7">
    <w:name w:val="WW8Num14z7"/>
    <w:qFormat/>
    <w:rPr/>
  </w:style>
  <w:style w:type="character" w:styleId="WW8Num14z8">
    <w:name w:val="WW8Num14z8"/>
    <w:qFormat/>
    <w:rPr/>
  </w:style>
  <w:style w:type="character" w:styleId="WW8Num15z0">
    <w:name w:val="WW8Num15z0"/>
    <w:qFormat/>
    <w:rPr/>
  </w:style>
  <w:style w:type="character" w:styleId="WW8Num15z1">
    <w:name w:val="WW8Num15z1"/>
    <w:qFormat/>
    <w:rPr/>
  </w:style>
  <w:style w:type="character" w:styleId="WW8Num15z2">
    <w:name w:val="WW8Num15z2"/>
    <w:qFormat/>
    <w:rPr/>
  </w:style>
  <w:style w:type="character" w:styleId="WW8Num15z3">
    <w:name w:val="WW8Num15z3"/>
    <w:qFormat/>
    <w:rPr/>
  </w:style>
  <w:style w:type="character" w:styleId="WW8Num15z4">
    <w:name w:val="WW8Num15z4"/>
    <w:qFormat/>
    <w:rPr/>
  </w:style>
  <w:style w:type="character" w:styleId="WW8Num15z5">
    <w:name w:val="WW8Num15z5"/>
    <w:qFormat/>
    <w:rPr/>
  </w:style>
  <w:style w:type="character" w:styleId="WW8Num15z6">
    <w:name w:val="WW8Num15z6"/>
    <w:qFormat/>
    <w:rPr/>
  </w:style>
  <w:style w:type="character" w:styleId="WW8Num15z7">
    <w:name w:val="WW8Num15z7"/>
    <w:qFormat/>
    <w:rPr/>
  </w:style>
  <w:style w:type="character" w:styleId="WW8Num15z8">
    <w:name w:val="WW8Num15z8"/>
    <w:qFormat/>
    <w:rPr/>
  </w:style>
  <w:style w:type="character" w:styleId="WW8Num16z0">
    <w:name w:val="WW8Num16z0"/>
    <w:qFormat/>
    <w:rPr/>
  </w:style>
  <w:style w:type="character" w:styleId="WW8Num16z1">
    <w:name w:val="WW8Num16z1"/>
    <w:qFormat/>
    <w:rPr>
      <w:rFonts w:ascii="Times New Roman" w:hAnsi="Times New Roman" w:cs="Times New Roman"/>
    </w:rPr>
  </w:style>
  <w:style w:type="character" w:styleId="WW8Num17z0">
    <w:name w:val="WW8Num17z0"/>
    <w:qFormat/>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rFonts w:ascii="Times New Roman" w:hAnsi="Times New Roman" w:cs="Times New Roman"/>
    </w:rPr>
  </w:style>
  <w:style w:type="character" w:styleId="WW8Num21z0">
    <w:name w:val="WW8Num21z0"/>
    <w:qFormat/>
    <w:rPr>
      <w:rFonts w:ascii="Times New Roman" w:hAnsi="Times New Roman" w:cs="Times New Roman"/>
    </w:rPr>
  </w:style>
  <w:style w:type="character" w:styleId="WW8Num22z0">
    <w:name w:val="WW8Num22z0"/>
    <w:qFormat/>
    <w:rPr/>
  </w:style>
  <w:style w:type="character" w:styleId="WW8Num22z1">
    <w:name w:val="WW8Num22z1"/>
    <w:qFormat/>
    <w:rPr/>
  </w:style>
  <w:style w:type="character" w:styleId="WW8Num22z2">
    <w:name w:val="WW8Num22z2"/>
    <w:qFormat/>
    <w:rPr/>
  </w:style>
  <w:style w:type="character" w:styleId="WW8Num22z3">
    <w:name w:val="WW8Num22z3"/>
    <w:qFormat/>
    <w:rPr/>
  </w:style>
  <w:style w:type="character" w:styleId="WW8Num22z4">
    <w:name w:val="WW8Num22z4"/>
    <w:qFormat/>
    <w:rPr/>
  </w:style>
  <w:style w:type="character" w:styleId="WW8Num22z5">
    <w:name w:val="WW8Num22z5"/>
    <w:qFormat/>
    <w:rPr/>
  </w:style>
  <w:style w:type="character" w:styleId="WW8Num22z6">
    <w:name w:val="WW8Num22z6"/>
    <w:qFormat/>
    <w:rPr/>
  </w:style>
  <w:style w:type="character" w:styleId="WW8Num22z7">
    <w:name w:val="WW8Num22z7"/>
    <w:qFormat/>
    <w:rPr/>
  </w:style>
  <w:style w:type="character" w:styleId="WW8Num22z8">
    <w:name w:val="WW8Num22z8"/>
    <w:qFormat/>
    <w:rPr/>
  </w:style>
  <w:style w:type="character" w:styleId="WW8Num23z0">
    <w:name w:val="WW8Num23z0"/>
    <w:qFormat/>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WW8Num24z0">
    <w:name w:val="WW8Num24z0"/>
    <w:qFormat/>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style>
  <w:style w:type="character" w:styleId="WW8Num25z1">
    <w:name w:val="WW8Num25z1"/>
    <w:qFormat/>
    <w:rPr/>
  </w:style>
  <w:style w:type="character" w:styleId="WW8Num25z2">
    <w:name w:val="WW8Num25z2"/>
    <w:qFormat/>
    <w:rPr/>
  </w:style>
  <w:style w:type="character" w:styleId="WW8Num25z3">
    <w:name w:val="WW8Num25z3"/>
    <w:qFormat/>
    <w:rPr/>
  </w:style>
  <w:style w:type="character" w:styleId="WW8Num25z4">
    <w:name w:val="WW8Num25z4"/>
    <w:qFormat/>
    <w:rPr/>
  </w:style>
  <w:style w:type="character" w:styleId="WW8Num25z5">
    <w:name w:val="WW8Num25z5"/>
    <w:qFormat/>
    <w:rPr/>
  </w:style>
  <w:style w:type="character" w:styleId="WW8Num25z6">
    <w:name w:val="WW8Num25z6"/>
    <w:qFormat/>
    <w:rPr/>
  </w:style>
  <w:style w:type="character" w:styleId="WW8Num25z7">
    <w:name w:val="WW8Num25z7"/>
    <w:qFormat/>
    <w:rPr/>
  </w:style>
  <w:style w:type="character" w:styleId="WW8Num25z8">
    <w:name w:val="WW8Num25z8"/>
    <w:qFormat/>
    <w:rPr/>
  </w:style>
  <w:style w:type="character" w:styleId="Domylnaczcionkaakapitu">
    <w:name w:val="Domyślna czcionka akapitu"/>
    <w:qFormat/>
    <w:rPr/>
  </w:style>
  <w:style w:type="character" w:styleId="NagwekZnak">
    <w:name w:val="Nagłówek Znak"/>
    <w:basedOn w:val="Domylnaczcionkaakapitu"/>
    <w:qFormat/>
    <w:rPr/>
  </w:style>
  <w:style w:type="character" w:styleId="StopkaZnak">
    <w:name w:val="Stopka Znak"/>
    <w:basedOn w:val="Domylnaczcionkaakapitu"/>
    <w:qFormat/>
    <w:rPr/>
  </w:style>
  <w:style w:type="character" w:styleId="TekstprzypisudolnegoZnak">
    <w:name w:val="Tekst przypisu dolnego Znak"/>
    <w:basedOn w:val="Domylnaczcionkaakapitu"/>
    <w:qFormat/>
    <w:rPr>
      <w:sz w:val="20"/>
      <w:szCs w:val="20"/>
    </w:rPr>
  </w:style>
  <w:style w:type="character" w:styleId="Znakiprzypiswdolnychuser">
    <w:name w:val="Znaki przypisów dolnych (user)"/>
    <w:qFormat/>
    <w:rPr>
      <w:vertAlign w:val="superscript"/>
    </w:rPr>
  </w:style>
  <w:style w:type="character" w:styleId="TekstdymkaZnak">
    <w:name w:val="Tekst dymka Znak"/>
    <w:basedOn w:val="Domylnaczcionkaakapitu"/>
    <w:qFormat/>
    <w:rPr>
      <w:rFonts w:ascii="Segoe UI" w:hAnsi="Segoe UI" w:cs="Segoe UI"/>
      <w:sz w:val="18"/>
      <w:szCs w:val="18"/>
    </w:rPr>
  </w:style>
  <w:style w:type="character" w:styleId="Hyperlink">
    <w:name w:val="Hyperlink"/>
    <w:basedOn w:val="Domylnaczcionkaakapitu"/>
    <w:rPr>
      <w:color w:val="0000FF"/>
      <w:u w:val="single"/>
    </w:rPr>
  </w:style>
  <w:style w:type="character" w:styleId="FollowedHyperlink">
    <w:name w:val="FollowedHyperlink"/>
    <w:rPr>
      <w:color w:val="800080"/>
      <w:u w:val="single"/>
    </w:rPr>
  </w:style>
  <w:style w:type="character" w:styleId="Strong">
    <w:name w:val="Strong"/>
    <w:qFormat/>
    <w:rPr>
      <w:b/>
      <w:bCs/>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Znakiprzypiswdolnych">
    <w:name w:val="Znaki przypisów dolnych"/>
    <w:qFormat/>
    <w:rPr>
      <w:vertAlign w:val="superscript"/>
    </w:rPr>
  </w:style>
  <w:style w:type="character" w:styleId="FootnoteReference">
    <w:name w:val="footnote reference"/>
    <w:rPr>
      <w:vertAlign w:val="superscrip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20z1">
    <w:name w:val="WW8Num20z1"/>
    <w:qFormat/>
    <w:rPr/>
  </w:style>
  <w:style w:type="character" w:styleId="WW8Num20z2">
    <w:name w:val="WW8Num20z2"/>
    <w:qFormat/>
    <w:rPr/>
  </w:style>
  <w:style w:type="character" w:styleId="WW8Num20z3">
    <w:name w:val="WW8Num20z3"/>
    <w:qFormat/>
    <w:rPr/>
  </w:style>
  <w:style w:type="character" w:styleId="WW8Num20z4">
    <w:name w:val="WW8Num20z4"/>
    <w:qFormat/>
    <w:rPr/>
  </w:style>
  <w:style w:type="character" w:styleId="WW8Num20z5">
    <w:name w:val="WW8Num20z5"/>
    <w:qFormat/>
    <w:rPr/>
  </w:style>
  <w:style w:type="character" w:styleId="WW8Num20z6">
    <w:name w:val="WW8Num20z6"/>
    <w:qFormat/>
    <w:rPr/>
  </w:style>
  <w:style w:type="character" w:styleId="WW8Num20z7">
    <w:name w:val="WW8Num20z7"/>
    <w:qFormat/>
    <w:rPr/>
  </w:style>
  <w:style w:type="character" w:styleId="WW8Num20z8">
    <w:name w:val="WW8Num20z8"/>
    <w:qFormat/>
    <w:rPr/>
  </w:style>
  <w:style w:type="character" w:styleId="Znakiprzypiswkocowychuser">
    <w:name w:val="Znaki przypisów końcowych (user)"/>
    <w:qFormat/>
    <w:rPr>
      <w:vertAlign w:val="superscript"/>
    </w:rPr>
  </w:style>
  <w:style w:type="character" w:styleId="WW-Znakiprzypiswkocowych">
    <w:name w:val="WW-Znaki przypisów końcowych"/>
    <w:qFormat/>
    <w:rPr/>
  </w:style>
  <w:style w:type="character" w:styleId="Znakiprzypiswkocowych">
    <w:name w:val="Znaki przypisów końcowych"/>
    <w:qFormat/>
    <w:rPr>
      <w:vertAlign w:val="superscript"/>
    </w:rPr>
  </w:style>
  <w:style w:type="character" w:styleId="EndnoteReference">
    <w:name w:val="endnote reference"/>
    <w:rPr>
      <w:vertAlign w:val="superscript"/>
    </w:rPr>
  </w:style>
  <w:style w:type="character" w:styleId="FontStyle83">
    <w:name w:val="Font Style83"/>
    <w:qFormat/>
    <w:rPr>
      <w:rFonts w:ascii="Times New Roman" w:hAnsi="Times New Roman" w:cs="Times New Roman"/>
      <w:sz w:val="18"/>
      <w:szCs w:val="18"/>
    </w:rPr>
  </w:style>
  <w:style w:type="character" w:styleId="WW8Num27z0">
    <w:name w:val="WW8Num27z0"/>
    <w:qFormat/>
    <w:rPr/>
  </w:style>
  <w:style w:type="character" w:styleId="WW8Num27z1">
    <w:name w:val="WW8Num27z1"/>
    <w:qFormat/>
    <w:rPr>
      <w:b w:val="false"/>
      <w:bCs/>
      <w:color w:val="000000"/>
      <w:sz w:val="20"/>
      <w:szCs w:val="20"/>
    </w:rPr>
  </w:style>
  <w:style w:type="character" w:styleId="WW8Num27z2">
    <w:name w:val="WW8Num27z2"/>
    <w:qFormat/>
    <w:rPr>
      <w:b w:val="false"/>
      <w:bCs/>
    </w:rPr>
  </w:style>
  <w:style w:type="character" w:styleId="WW8Num27z3">
    <w:name w:val="WW8Num27z3"/>
    <w:qFormat/>
    <w:rPr>
      <w:b w:val="false"/>
      <w:bCs w:val="false"/>
    </w:rPr>
  </w:style>
  <w:style w:type="character" w:styleId="WW8Num30z0">
    <w:name w:val="WW8Num30z0"/>
    <w:qFormat/>
    <w:rPr>
      <w:rFonts w:ascii="Calibri" w:hAnsi="Calibri" w:cs="Calibri"/>
      <w:color w:val="000000"/>
      <w:sz w:val="20"/>
      <w:szCs w:val="20"/>
    </w:rPr>
  </w:style>
  <w:style w:type="character" w:styleId="WW8Num30z1">
    <w:name w:val="WW8Num30z1"/>
    <w:qFormat/>
    <w:rPr>
      <w:rFonts w:ascii="Verdana" w:hAnsi="Verdana" w:cs="Verdana"/>
      <w:b w:val="false"/>
      <w:color w:val="000000"/>
    </w:rPr>
  </w:style>
  <w:style w:type="character" w:styleId="WW8Num30z2">
    <w:name w:val="WW8Num30z2"/>
    <w:qFormat/>
    <w:rPr>
      <w:b w:val="false"/>
      <w:i w:val="false"/>
      <w:color w:val="000000"/>
    </w:rPr>
  </w:style>
  <w:style w:type="character" w:styleId="WW8Num30z3">
    <w:name w:val="WW8Num30z3"/>
    <w:qFormat/>
    <w:rPr>
      <w:b w:val="false"/>
    </w:rPr>
  </w:style>
  <w:style w:type="character" w:styleId="WW8Num30z4">
    <w:name w:val="WW8Num30z4"/>
    <w:qFormat/>
    <w:rPr>
      <w:rFonts w:ascii="Calibri" w:hAnsi="Calibri" w:cs="Calibri"/>
      <w:color w:val="000000"/>
    </w:rPr>
  </w:style>
  <w:style w:type="character" w:styleId="WW8Num30z5">
    <w:name w:val="WW8Num30z5"/>
    <w:qFormat/>
    <w:rPr/>
  </w:style>
  <w:style w:type="character" w:styleId="WW8Num33z0">
    <w:name w:val="WW8Num33z0"/>
    <w:qFormat/>
    <w:rPr>
      <w:b/>
    </w:rPr>
  </w:style>
  <w:style w:type="character" w:styleId="WW8Num33z1">
    <w:name w:val="WW8Num33z1"/>
    <w:qFormat/>
    <w:rPr/>
  </w:style>
  <w:style w:type="character" w:styleId="WW8Num46z0">
    <w:name w:val="WW8Num46z0"/>
    <w:qFormat/>
    <w:rPr/>
  </w:style>
  <w:style w:type="character" w:styleId="WW8Num56z0">
    <w:name w:val="WW8Num56z0"/>
    <w:qFormat/>
    <w:rPr/>
  </w:style>
  <w:style w:type="character" w:styleId="WW8Num37z0">
    <w:name w:val="WW8Num37z0"/>
    <w:qFormat/>
    <w:rPr>
      <w:b/>
    </w:rPr>
  </w:style>
  <w:style w:type="character" w:styleId="WW8Num37z1">
    <w:name w:val="WW8Num37z1"/>
    <w:qFormat/>
    <w:rPr>
      <w:b w:val="false"/>
      <w:bCs/>
    </w:rPr>
  </w:style>
  <w:style w:type="character" w:styleId="Znakinumeracjiuser">
    <w:name w:val="Znaki numeracji (user)"/>
    <w:qFormat/>
    <w:rPr/>
  </w:style>
  <w:style w:type="character" w:styleId="WW8Num36z0">
    <w:name w:val="WW8Num36z0"/>
    <w:qFormat/>
    <w:rPr>
      <w:b/>
    </w:rPr>
  </w:style>
  <w:style w:type="character" w:styleId="WW8Num36z1">
    <w:name w:val="WW8Num36z1"/>
    <w:qFormat/>
    <w:rPr>
      <w:b w:val="false"/>
      <w:bCs/>
    </w:rPr>
  </w:style>
  <w:style w:type="character" w:styleId="postbody">
    <w:name w:val="postbody"/>
    <w:qFormat/>
    <w:rPr>
      <w:rFonts w:ascii="Times New Roman" w:hAnsi="Times New Roman" w:eastAsia="Times New Roman" w:cs="Times New Roman"/>
      <w:color w:val="000000"/>
      <w:sz w:val="24"/>
      <w:szCs w:val="24"/>
    </w:rPr>
  </w:style>
  <w:style w:type="character" w:styleId="highlighted">
    <w:name w:val="highlighted"/>
    <w:qFormat/>
    <w:rPr>
      <w:rFonts w:ascii="Times New Roman" w:hAnsi="Times New Roman" w:eastAsia="Times New Roman" w:cs="Times New Roman"/>
      <w:color w:val="000000"/>
      <w:sz w:val="24"/>
      <w:szCs w:val="24"/>
    </w:rPr>
  </w:style>
  <w:style w:type="character" w:styleId="HTMLCode">
    <w:name w:val="HTML Code"/>
    <w:qFormat/>
    <w:rPr>
      <w:rFonts w:ascii="Courier New" w:hAnsi="Courier New" w:eastAsia="Times New Roman" w:cs="Courier New"/>
      <w:color w:val="000000"/>
      <w:sz w:val="20"/>
      <w:szCs w:val="20"/>
    </w:rPr>
  </w:style>
  <w:style w:type="character" w:styleId="markedcontent">
    <w:name w:val="markedcontent"/>
    <w:qFormat/>
    <w:rPr>
      <w:rFonts w:ascii="Times New Roman" w:hAnsi="Times New Roman" w:eastAsia="Times New Roman" w:cs="Times New Roman"/>
      <w:color w:val="000000"/>
      <w:sz w:val="24"/>
      <w:szCs w:val="24"/>
    </w:rPr>
  </w:style>
  <w:style w:type="character" w:styleId="hps">
    <w:name w:val="hps"/>
    <w:qFormat/>
    <w:rPr>
      <w:rFonts w:cs="Times New Roman"/>
    </w:rPr>
  </w:style>
  <w:style w:type="character" w:styleId="symbol1">
    <w:name w:val="symbol1"/>
    <w:qFormat/>
    <w:rPr>
      <w:rFonts w:ascii="Courier New" w:hAnsi="Courier New" w:cs="Courier New"/>
      <w:b/>
      <w:bCs/>
      <w:sz w:val="14"/>
      <w:szCs w:val="14"/>
    </w:rPr>
  </w:style>
  <w:style w:type="character" w:styleId="nomark">
    <w:name w:val="nomark"/>
    <w:qFormat/>
    <w:rPr>
      <w:rFonts w:cs="Times New Roman"/>
    </w:rPr>
  </w:style>
  <w:style w:type="character" w:styleId="timark">
    <w:name w:val="timark"/>
    <w:qFormat/>
    <w:rPr>
      <w:rFonts w:cs="Times New Roman"/>
    </w:rPr>
  </w:style>
  <w:style w:type="character" w:styleId="Strong1">
    <w:name w:val="Strong1"/>
    <w:qFormat/>
    <w:rPr>
      <w:rFonts w:cs="Times New Roman"/>
      <w:b/>
      <w:bCs/>
    </w:rPr>
  </w:style>
  <w:style w:type="character" w:styleId="PageNumber">
    <w:name w:val="page number"/>
    <w:qFormat/>
    <w:rPr>
      <w:rFonts w:cs="Times New Roman"/>
    </w:rPr>
  </w:style>
  <w:style w:type="character" w:styleId="UnresolvedMention">
    <w:name w:val="Unresolved Mention"/>
    <w:qFormat/>
    <w:rPr>
      <w:rFonts w:ascii="Times New Roman" w:hAnsi="Times New Roman" w:eastAsia="Times New Roman" w:cs="Times New Roman"/>
      <w:color w:val="605E5C"/>
      <w:sz w:val="24"/>
      <w:szCs w:val="24"/>
      <w:shd w:fill="E1DFDD" w:val="clear"/>
    </w:rPr>
  </w:style>
  <w:style w:type="character" w:styleId="Domylnaczcionkaakapitu1">
    <w:name w:val="Domyślna czcionka akapitu1"/>
    <w:qFormat/>
    <w:rPr/>
  </w:style>
  <w:style w:type="character" w:styleId="Domylnaczcionkaakapitu2">
    <w:name w:val="Domyślna czcionka akapitu2"/>
    <w:qFormat/>
    <w:rPr/>
  </w:style>
  <w:style w:type="character" w:styleId="Domylnaczcionkaakapitu3">
    <w:name w:val="Domyślna czcionka akapitu3"/>
    <w:qFormat/>
    <w:rPr/>
  </w:style>
  <w:style w:type="character" w:styleId="WW8Num21z2">
    <w:name w:val="WW8Num21z2"/>
    <w:qFormat/>
    <w:rPr>
      <w:rFonts w:ascii="Wingdings" w:hAnsi="Wingdings" w:cs="Wingdings"/>
    </w:rPr>
  </w:style>
  <w:style w:type="character" w:styleId="WW8Num21z1">
    <w:name w:val="WW8Num21z1"/>
    <w:qFormat/>
    <w:rPr>
      <w:rFonts w:ascii="Courier New" w:hAnsi="Courier New" w:cs="Courier New"/>
    </w:rPr>
  </w:style>
  <w:style w:type="character" w:styleId="WW8Num16z2">
    <w:name w:val="WW8Num16z2"/>
    <w:qFormat/>
    <w:rPr>
      <w:rFonts w:ascii="Wingdings" w:hAnsi="Wingdings" w:cs="Wingdings"/>
    </w:rPr>
  </w:style>
  <w:style w:type="character" w:styleId="Domylnaczcionkaakapitu4">
    <w:name w:val="Domyślna czcionka akapitu4"/>
    <w:qFormat/>
    <w:rPr/>
  </w:style>
  <w:style w:type="character" w:styleId="Domylnaczcionkaakapitu5">
    <w:name w:val="Domyślna czcionka akapitu5"/>
    <w:qFormat/>
    <w:rPr/>
  </w:style>
  <w:style w:type="character" w:styleId="text-justify">
    <w:name w:val="text-justify"/>
    <w:qFormat/>
    <w:rPr>
      <w:rFonts w:ascii="Times New Roman" w:hAnsi="Times New Roman" w:eastAsia="Times New Roman" w:cs="Times New Roman"/>
      <w:color w:val="000000"/>
      <w:sz w:val="24"/>
      <w:szCs w:val="24"/>
    </w:rPr>
  </w:style>
  <w:style w:type="character" w:styleId="alb">
    <w:name w:val="a_lb"/>
    <w:qFormat/>
    <w:rPr>
      <w:rFonts w:ascii="Times New Roman" w:hAnsi="Times New Roman" w:eastAsia="Times New Roman" w:cs="Times New Roman"/>
      <w:color w:val="000000"/>
      <w:sz w:val="24"/>
      <w:szCs w:val="24"/>
    </w:rPr>
  </w:style>
  <w:style w:type="character" w:styleId="highlight">
    <w:name w:val="highlight"/>
    <w:qFormat/>
    <w:rPr>
      <w:rFonts w:ascii="Times New Roman" w:hAnsi="Times New Roman" w:eastAsia="Times New Roman" w:cs="Times New Roman"/>
      <w:color w:val="000000"/>
      <w:sz w:val="24"/>
      <w:szCs w:val="24"/>
    </w:rPr>
  </w:style>
  <w:style w:type="character" w:styleId="c101">
    <w:name w:val="c101"/>
    <w:qFormat/>
    <w:rPr>
      <w:rFonts w:ascii="Verdana" w:hAnsi="Verdana" w:cs="Verdana"/>
      <w:sz w:val="18"/>
      <w:szCs w:val="18"/>
    </w:rPr>
  </w:style>
  <w:style w:type="character" w:styleId="footnotemark">
    <w:name w:val="footnote mark"/>
    <w:qFormat/>
    <w:rPr>
      <w:rFonts w:ascii="Times New Roman" w:hAnsi="Times New Roman" w:eastAsia="Times New Roman" w:cs="Times New Roman"/>
      <w:color w:val="000000"/>
      <w:sz w:val="16"/>
      <w:vertAlign w:val="superscript"/>
    </w:rPr>
  </w:style>
  <w:style w:type="character" w:styleId="TeksttreciPogrubienie">
    <w:name w:val="Tekst treści + Pogrubienie"/>
    <w:qFormat/>
    <w:rPr>
      <w:rFonts w:ascii="Verdana" w:hAnsi="Verdana" w:cs="Verdana"/>
      <w:b/>
      <w:bCs/>
      <w:spacing w:val="0"/>
      <w:sz w:val="19"/>
      <w:szCs w:val="19"/>
      <w:shd w:fill="FFFFFF" w:val="clear"/>
    </w:rPr>
  </w:style>
  <w:style w:type="character" w:styleId="EndnoteCharacters">
    <w:name w:val="Endnote Characters"/>
    <w:qFormat/>
    <w:rPr>
      <w:vertAlign w:val="superscript"/>
    </w:rPr>
  </w:style>
  <w:style w:type="character" w:styleId="CommentReference">
    <w:name w:val="annotation reference"/>
    <w:qFormat/>
    <w:rPr>
      <w:sz w:val="16"/>
      <w:szCs w:val="16"/>
    </w:rPr>
  </w:style>
  <w:style w:type="character" w:styleId="FootnoteCharacters">
    <w:name w:val="Footnote Characters"/>
    <w:qFormat/>
    <w:rPr>
      <w:rFonts w:ascii="Times New Roman" w:hAnsi="Times New Roman" w:cs="Times New Roman"/>
      <w:sz w:val="20"/>
      <w:vertAlign w:val="superscript"/>
    </w:rPr>
  </w:style>
  <w:style w:type="character" w:styleId="footnotedescriptionChar">
    <w:name w:val="footnote description Char"/>
    <w:qFormat/>
    <w:rPr>
      <w:color w:val="000000"/>
      <w:sz w:val="16"/>
      <w:lang w:bidi="ne-IN"/>
    </w:rPr>
  </w:style>
  <w:style w:type="character" w:styleId="Teksttreci">
    <w:name w:val="Tekst treści_"/>
    <w:qFormat/>
    <w:rPr>
      <w:rFonts w:ascii="Verdana" w:hAnsi="Verdana" w:cs="Verdana"/>
      <w:sz w:val="19"/>
      <w:szCs w:val="19"/>
      <w:shd w:fill="FFFFFF" w:val="clear"/>
    </w:rPr>
  </w:style>
  <w:style w:type="character" w:styleId="pktZnak">
    <w:name w:val="pkt Znak"/>
    <w:qFormat/>
    <w:rPr>
      <w:sz w:val="24"/>
      <w:szCs w:val="24"/>
    </w:rPr>
  </w:style>
  <w:style w:type="character" w:styleId="AkapitzlistZnak">
    <w:name w:val="Akapit z listą Znak"/>
    <w:qFormat/>
    <w:rPr>
      <w:sz w:val="24"/>
      <w:lang w:val="x-none" w:eastAsia="x-none"/>
    </w:rPr>
  </w:style>
  <w:style w:type="character" w:styleId="BezodstpwZnak">
    <w:name w:val="Bez odstępów Znak"/>
    <w:qFormat/>
    <w:rPr>
      <w:rFonts w:ascii="Calibri" w:hAnsi="Calibri" w:cs="Calibri"/>
    </w:rPr>
  </w:style>
  <w:style w:type="character" w:styleId="TematkomentarzaZnak">
    <w:name w:val="Temat komentarza Znak"/>
    <w:qFormat/>
    <w:rPr>
      <w:rFonts w:ascii="Times New Roman" w:hAnsi="Times New Roman" w:eastAsia="Times New Roman" w:cs="Times New Roman"/>
      <w:b/>
      <w:bCs/>
      <w:color w:val="000000"/>
      <w:sz w:val="20"/>
      <w:szCs w:val="20"/>
      <w:lang w:eastAsia="pl-PL"/>
    </w:rPr>
  </w:style>
  <w:style w:type="character" w:styleId="ZwykytekstZnak">
    <w:name w:val="Zwykły tekst Znak"/>
    <w:qFormat/>
    <w:rPr>
      <w:rFonts w:ascii="Courier New" w:hAnsi="Courier New" w:eastAsia="Times New Roman" w:cs="Times New Roman"/>
      <w:color w:val="000000"/>
      <w:sz w:val="20"/>
      <w:szCs w:val="20"/>
      <w:lang w:val="x-none" w:eastAsia="x-none"/>
    </w:rPr>
  </w:style>
  <w:style w:type="character" w:styleId="Tekstpodstawowywcity3Znak">
    <w:name w:val="Tekst podstawowy wcięty 3 Znak"/>
    <w:qFormat/>
    <w:rPr>
      <w:rFonts w:ascii="Times New Roman" w:hAnsi="Times New Roman" w:eastAsia="Times New Roman" w:cs="Times New Roman"/>
      <w:color w:val="000000"/>
      <w:szCs w:val="20"/>
      <w:lang w:eastAsia="pl-PL"/>
    </w:rPr>
  </w:style>
  <w:style w:type="character" w:styleId="Tekstpodstawowywcity2Znak">
    <w:name w:val="Tekst podstawowy wcięty 2 Znak"/>
    <w:qFormat/>
    <w:rPr>
      <w:rFonts w:ascii="Times New Roman" w:hAnsi="Times New Roman" w:eastAsia="Times New Roman" w:cs="Times New Roman"/>
      <w:color w:val="000000"/>
      <w:szCs w:val="20"/>
      <w:lang w:eastAsia="pl-PL"/>
    </w:rPr>
  </w:style>
  <w:style w:type="character" w:styleId="Tekstpodstawowy3Znak">
    <w:name w:val="Tekst podstawowy 3 Znak"/>
    <w:qFormat/>
    <w:rPr>
      <w:rFonts w:ascii="Times New Roman" w:hAnsi="Times New Roman" w:eastAsia="Times New Roman" w:cs="Times New Roman"/>
      <w:color w:val="000000"/>
      <w:szCs w:val="20"/>
      <w:lang w:eastAsia="pl-PL"/>
    </w:rPr>
  </w:style>
  <w:style w:type="character" w:styleId="Tekstpodstawowy2Znak">
    <w:name w:val="Tekst podstawowy 2 Znak"/>
    <w:qFormat/>
    <w:rPr>
      <w:rFonts w:ascii="Ottawa" w:hAnsi="Ottawa" w:eastAsia="Times New Roman" w:cs="Times New Roman"/>
      <w:color w:val="000000"/>
      <w:szCs w:val="20"/>
      <w:lang w:eastAsia="pl-PL"/>
    </w:rPr>
  </w:style>
  <w:style w:type="character" w:styleId="PodtytuZnak">
    <w:name w:val="Podtytuł Znak"/>
    <w:qFormat/>
    <w:rPr>
      <w:rFonts w:ascii="Arial" w:hAnsi="Arial" w:eastAsia="Times New Roman" w:cs="Times New Roman"/>
      <w:b/>
      <w:color w:val="000000"/>
      <w:szCs w:val="20"/>
      <w:lang w:eastAsia="pl-PL"/>
    </w:rPr>
  </w:style>
  <w:style w:type="character" w:styleId="TekstpodstawowywcityZnak">
    <w:name w:val="Tekst podstawowy wcięty Znak"/>
    <w:qFormat/>
    <w:rPr>
      <w:rFonts w:ascii="Times New Roman" w:hAnsi="Times New Roman" w:eastAsia="Times New Roman" w:cs="Times New Roman"/>
      <w:color w:val="000000"/>
      <w:szCs w:val="20"/>
      <w:lang w:eastAsia="pl-PL"/>
    </w:rPr>
  </w:style>
  <w:style w:type="character" w:styleId="TytuZnak">
    <w:name w:val="Tytuł Znak"/>
    <w:qFormat/>
    <w:rPr>
      <w:rFonts w:ascii="Goudy Old Style CE ATT" w:hAnsi="Goudy Old Style CE ATT" w:eastAsia="Times New Roman" w:cs="Times New Roman"/>
      <w:b/>
      <w:color w:val="000080"/>
      <w:spacing w:val="-4"/>
      <w:sz w:val="28"/>
      <w:szCs w:val="20"/>
      <w:lang w:eastAsia="pl-PL"/>
    </w:rPr>
  </w:style>
  <w:style w:type="character" w:styleId="TekstpodstawowyZnak">
    <w:name w:val="Tekst podstawowy Znak"/>
    <w:qFormat/>
    <w:rPr>
      <w:rFonts w:ascii="Times New Roman" w:hAnsi="Times New Roman" w:eastAsia="Times New Roman" w:cs="Times New Roman"/>
      <w:color w:val="000000"/>
      <w:szCs w:val="20"/>
      <w:lang w:eastAsia="pl-PL"/>
    </w:rPr>
  </w:style>
  <w:style w:type="character" w:styleId="TekstprzypisukocowegoZnak">
    <w:name w:val="Tekst przypisu końcowego Znak"/>
    <w:qFormat/>
    <w:rPr>
      <w:rFonts w:ascii="Times New Roman" w:hAnsi="Times New Roman" w:eastAsia="Times New Roman" w:cs="Times New Roman"/>
      <w:color w:val="000000"/>
      <w:sz w:val="20"/>
      <w:szCs w:val="20"/>
      <w:lang w:eastAsia="pl-PL"/>
    </w:rPr>
  </w:style>
  <w:style w:type="character" w:styleId="TekstkomentarzaZnak">
    <w:name w:val="Tekst komentarza Znak"/>
    <w:qFormat/>
    <w:rPr>
      <w:rFonts w:ascii="Times New Roman" w:hAnsi="Times New Roman" w:eastAsia="Times New Roman" w:cs="Times New Roman"/>
      <w:color w:val="000000"/>
      <w:sz w:val="20"/>
      <w:szCs w:val="20"/>
      <w:lang w:eastAsia="pl-PL"/>
    </w:rPr>
  </w:style>
  <w:style w:type="character" w:styleId="TekstprzypisudolnegoZnak1">
    <w:name w:val="Tekst przypisu dolnego Znak1"/>
    <w:qFormat/>
    <w:rPr>
      <w:rFonts w:ascii="Times New Roman" w:hAnsi="Times New Roman" w:eastAsia="Times New Roman" w:cs="Times New Roman"/>
      <w:color w:val="000000"/>
      <w:sz w:val="20"/>
      <w:szCs w:val="20"/>
    </w:rPr>
  </w:style>
  <w:style w:type="character" w:styleId="HTML-wstpniesformatowanyZnak">
    <w:name w:val="HTML - wstępnie sformatowany Znak"/>
    <w:qFormat/>
    <w:rPr>
      <w:rFonts w:ascii="Courier New" w:hAnsi="Courier New" w:eastAsia="Times New Roman" w:cs="Courier New"/>
      <w:color w:val="000000"/>
      <w:sz w:val="20"/>
      <w:szCs w:val="20"/>
      <w:lang w:eastAsia="pl-PL"/>
    </w:rPr>
  </w:style>
  <w:style w:type="character" w:styleId="Nagwek9Znak">
    <w:name w:val="Nagłówek 9 Znak"/>
    <w:qFormat/>
    <w:rPr>
      <w:rFonts w:ascii="Arial" w:hAnsi="Arial" w:eastAsia="Times New Roman" w:cs="Times New Roman"/>
      <w:b/>
      <w:i/>
      <w:color w:val="000000"/>
      <w:sz w:val="18"/>
      <w:szCs w:val="20"/>
      <w:lang w:eastAsia="pl-PL"/>
    </w:rPr>
  </w:style>
  <w:style w:type="character" w:styleId="Nagwek8Znak">
    <w:name w:val="Nagłówek 8 Znak"/>
    <w:qFormat/>
    <w:rPr>
      <w:rFonts w:ascii="Arial" w:hAnsi="Arial" w:eastAsia="Times New Roman" w:cs="Times New Roman"/>
      <w:i/>
      <w:color w:val="000000"/>
      <w:szCs w:val="20"/>
      <w:lang w:eastAsia="pl-PL"/>
    </w:rPr>
  </w:style>
  <w:style w:type="character" w:styleId="Nagwek7Znak">
    <w:name w:val="Nagłówek 7 Znak"/>
    <w:qFormat/>
    <w:rPr>
      <w:rFonts w:ascii="Arial" w:hAnsi="Arial" w:eastAsia="Times New Roman" w:cs="Times New Roman"/>
      <w:color w:val="000000"/>
      <w:szCs w:val="20"/>
      <w:lang w:eastAsia="pl-PL"/>
    </w:rPr>
  </w:style>
  <w:style w:type="character" w:styleId="Nagwek6Znak">
    <w:name w:val="Nagłówek 6 Znak"/>
    <w:qFormat/>
    <w:rPr>
      <w:rFonts w:ascii="Times New Roman" w:hAnsi="Times New Roman" w:eastAsia="Times New Roman" w:cs="Times New Roman"/>
      <w:i/>
      <w:color w:val="000000"/>
      <w:sz w:val="24"/>
      <w:szCs w:val="20"/>
      <w:lang w:eastAsia="pl-PL"/>
    </w:rPr>
  </w:style>
  <w:style w:type="character" w:styleId="Nagwek5Znak">
    <w:name w:val="Nagłówek 5 Znak"/>
    <w:qFormat/>
    <w:rPr>
      <w:rFonts w:ascii="Times New Roman" w:hAnsi="Times New Roman" w:eastAsia="Times New Roman" w:cs="Times New Roman"/>
      <w:b/>
      <w:caps/>
      <w:color w:val="000000"/>
      <w:sz w:val="32"/>
      <w:szCs w:val="20"/>
      <w:u w:val="single"/>
      <w:lang w:eastAsia="pl-PL"/>
    </w:rPr>
  </w:style>
  <w:style w:type="character" w:styleId="Nagwek4Znak">
    <w:name w:val="Nagłówek 4 Znak"/>
    <w:qFormat/>
    <w:rPr>
      <w:rFonts w:ascii="Times New Roman" w:hAnsi="Times New Roman" w:eastAsia="Times New Roman" w:cs="Times New Roman"/>
      <w:color w:val="000000"/>
      <w:szCs w:val="20"/>
      <w:lang w:val="x-none" w:eastAsia="x-none"/>
    </w:rPr>
  </w:style>
  <w:style w:type="character" w:styleId="Nagwek3Znak">
    <w:name w:val="Nagłówek 3 Znak"/>
    <w:qFormat/>
    <w:rPr>
      <w:rFonts w:ascii="Times New Roman" w:hAnsi="Times New Roman" w:eastAsia="Times New Roman" w:cs="Times New Roman"/>
      <w:color w:val="000000"/>
      <w:szCs w:val="20"/>
      <w:lang w:eastAsia="pl-PL"/>
    </w:rPr>
  </w:style>
  <w:style w:type="character" w:styleId="Nagwek2Znak">
    <w:name w:val="Nagłówek 2 Znak"/>
    <w:qFormat/>
    <w:rPr>
      <w:rFonts w:ascii="Times New Roman" w:hAnsi="Times New Roman" w:eastAsia="Times New Roman" w:cs="Times New Roman"/>
      <w:b/>
      <w:color w:val="000000"/>
      <w:szCs w:val="20"/>
      <w:lang w:eastAsia="pl-PL"/>
    </w:rPr>
  </w:style>
  <w:style w:type="character" w:styleId="Nagwek1Znak">
    <w:name w:val="Nagłówek 1 Znak"/>
    <w:qFormat/>
    <w:rPr>
      <w:rFonts w:ascii="Times New Roman" w:hAnsi="Times New Roman" w:eastAsia="Times New Roman" w:cs="Times New Roman"/>
      <w:b/>
      <w:color w:val="000000"/>
      <w:sz w:val="28"/>
      <w:szCs w:val="20"/>
      <w:lang w:eastAsia="pl-PL"/>
    </w:rPr>
  </w:style>
  <w:style w:type="character" w:styleId="DefaultParagraphFont">
    <w:name w:val="Default Paragraph Font"/>
    <w:qFormat/>
    <w:rPr/>
  </w:style>
  <w:style w:type="character" w:styleId="WW8Num26z0">
    <w:name w:val="WW8Num26z0"/>
    <w:qFormat/>
    <w:rPr>
      <w:rFonts w:ascii="Times New Roman" w:hAnsi="Times New Roman" w:eastAsia="Times New Roman" w:cs="Times New Roman"/>
      <w:b w:val="false"/>
      <w:bCs/>
      <w:sz w:val="20"/>
      <w:szCs w:val="20"/>
    </w:rPr>
  </w:style>
  <w:style w:type="character" w:styleId="WW8Num26z1">
    <w:name w:val="WW8Num26z1"/>
    <w:qFormat/>
    <w:rPr>
      <w:rFonts w:ascii="Times New Roman" w:hAnsi="Times New Roman" w:cs="Times New Roman"/>
      <w:color w:val="000000"/>
      <w:sz w:val="22"/>
      <w:szCs w:val="22"/>
    </w:rPr>
  </w:style>
  <w:style w:type="character" w:styleId="WW8Num58z0">
    <w:name w:val="WW8Num58z0"/>
    <w:qFormat/>
    <w:rPr>
      <w:b/>
    </w:rPr>
  </w:style>
  <w:style w:type="character" w:styleId="WW8Num58z1">
    <w:name w:val="WW8Num58z1"/>
    <w:qFormat/>
    <w:rPr/>
  </w:style>
  <w:style w:type="character" w:styleId="Znakinumeracji">
    <w:name w:val="Znaki numeracji"/>
    <w:qFormat/>
    <w:rPr/>
  </w:style>
  <w:style w:type="paragraph" w:styleId="Nagwek">
    <w:name w:val="Nagłówek"/>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Nagwekuser">
    <w:name w:val="Nagłówek (user)"/>
    <w:basedOn w:val="Normal"/>
    <w:next w:val="BodyText"/>
    <w:qFormat/>
    <w:pPr>
      <w:keepNext w:val="true"/>
      <w:spacing w:before="240" w:after="120"/>
    </w:pPr>
    <w:rPr>
      <w:rFonts w:ascii="Liberation Sans;Arial" w:hAnsi="Liberation Sans;Arial" w:eastAsia="Microsoft YaHei" w:cs="Lucida Sans"/>
      <w:sz w:val="28"/>
      <w:szCs w:val="28"/>
    </w:rPr>
  </w:style>
  <w:style w:type="paragraph" w:styleId="Indeksuser">
    <w:name w:val="Indeks (user)"/>
    <w:basedOn w:val="Normal"/>
    <w:qFormat/>
    <w:pPr>
      <w:suppressLineNumbers/>
    </w:pPr>
    <w:rPr>
      <w:rFonts w:cs="Lucida Sans"/>
    </w:rPr>
  </w:style>
  <w:style w:type="paragraph" w:styleId="caption1">
    <w:name w:val="caption1"/>
    <w:basedOn w:val="Normal"/>
    <w:qFormat/>
    <w:pPr>
      <w:suppressLineNumbers/>
      <w:spacing w:before="120" w:after="120"/>
    </w:pPr>
    <w:rPr>
      <w:rFonts w:cs="Arial"/>
      <w:i/>
      <w:iCs/>
      <w:sz w:val="24"/>
      <w:szCs w:val="24"/>
    </w:rPr>
  </w:style>
  <w:style w:type="paragraph" w:styleId="caption11">
    <w:name w:val="caption11"/>
    <w:basedOn w:val="Normal"/>
    <w:qFormat/>
    <w:pPr>
      <w:suppressLineNumbers/>
      <w:spacing w:before="120" w:after="120"/>
    </w:pPr>
    <w:rPr>
      <w:rFonts w:cs="Arial"/>
      <w:i/>
      <w:iCs/>
      <w:sz w:val="24"/>
      <w:szCs w:val="24"/>
    </w:rPr>
  </w:style>
  <w:style w:type="paragraph" w:styleId="caption111">
    <w:name w:val="caption111"/>
    <w:basedOn w:val="Normal"/>
    <w:qFormat/>
    <w:pPr>
      <w:suppressLineNumbers/>
      <w:spacing w:before="120" w:after="120"/>
    </w:pPr>
    <w:rPr>
      <w:rFonts w:cs="Arial"/>
      <w:i/>
      <w:iCs/>
      <w:sz w:val="24"/>
      <w:szCs w:val="24"/>
    </w:rPr>
  </w:style>
  <w:style w:type="paragraph" w:styleId="caption1111">
    <w:name w:val="caption1111"/>
    <w:basedOn w:val="Normal"/>
    <w:qFormat/>
    <w:pPr>
      <w:suppressLineNumbers/>
      <w:spacing w:before="120" w:after="120"/>
    </w:pPr>
    <w:rPr>
      <w:rFonts w:cs="Arial"/>
      <w:i/>
      <w:iCs/>
      <w:sz w:val="24"/>
      <w:szCs w:val="24"/>
    </w:rPr>
  </w:style>
  <w:style w:type="paragraph" w:styleId="caption11111">
    <w:name w:val="caption11111"/>
    <w:basedOn w:val="Normal"/>
    <w:qFormat/>
    <w:pPr>
      <w:suppressLineNumbers/>
      <w:spacing w:before="120" w:after="120"/>
    </w:pPr>
    <w:rPr>
      <w:rFonts w:cs="Arial"/>
      <w:i/>
      <w:iCs/>
      <w:sz w:val="24"/>
      <w:szCs w:val="24"/>
    </w:rPr>
  </w:style>
  <w:style w:type="paragraph" w:styleId="caption111111">
    <w:name w:val="caption111111"/>
    <w:basedOn w:val="Normal"/>
    <w:qFormat/>
    <w:pPr>
      <w:suppressLineNumbers/>
      <w:spacing w:before="120" w:after="120"/>
    </w:pPr>
    <w:rPr>
      <w:rFonts w:cs="Arial"/>
      <w:i/>
      <w:iCs/>
      <w:sz w:val="24"/>
      <w:szCs w:val="24"/>
    </w:rPr>
  </w:style>
  <w:style w:type="paragraph" w:styleId="caption1111111">
    <w:name w:val="caption1111111"/>
    <w:basedOn w:val="Normal"/>
    <w:qFormat/>
    <w:pPr>
      <w:suppressLineNumbers/>
      <w:spacing w:before="120" w:after="120"/>
    </w:pPr>
    <w:rPr>
      <w:rFonts w:cs="Arial"/>
      <w:i/>
      <w:iCs/>
      <w:sz w:val="24"/>
      <w:szCs w:val="24"/>
    </w:rPr>
  </w:style>
  <w:style w:type="paragraph" w:styleId="caption11111111">
    <w:name w:val="caption11111111"/>
    <w:basedOn w:val="Normal"/>
    <w:qFormat/>
    <w:pPr>
      <w:suppressLineNumbers/>
      <w:spacing w:before="120" w:after="120"/>
    </w:pPr>
    <w:rPr>
      <w:rFonts w:cs="Arial"/>
      <w:i/>
      <w:iCs/>
      <w:sz w:val="24"/>
      <w:szCs w:val="24"/>
    </w:rPr>
  </w:style>
  <w:style w:type="paragraph" w:styleId="caption111111111">
    <w:name w:val="caption111111111"/>
    <w:basedOn w:val="Normal"/>
    <w:qFormat/>
    <w:pPr>
      <w:suppressLineNumbers/>
      <w:spacing w:before="120" w:after="120"/>
    </w:pPr>
    <w:rPr>
      <w:rFonts w:cs="Arial"/>
      <w:i/>
      <w:iCs/>
      <w:sz w:val="24"/>
      <w:szCs w:val="24"/>
    </w:rPr>
  </w:style>
  <w:style w:type="paragraph" w:styleId="caption1111111111">
    <w:name w:val="caption1111111111"/>
    <w:basedOn w:val="Normal"/>
    <w:qFormat/>
    <w:pPr>
      <w:suppressLineNumbers/>
      <w:spacing w:before="120" w:after="120"/>
    </w:pPr>
    <w:rPr>
      <w:rFonts w:cs="Arial"/>
      <w:i/>
      <w:iCs/>
      <w:sz w:val="24"/>
      <w:szCs w:val="24"/>
    </w:rPr>
  </w:style>
  <w:style w:type="paragraph" w:styleId="caption11111111111">
    <w:name w:val="caption11111111111"/>
    <w:basedOn w:val="Normal"/>
    <w:qFormat/>
    <w:pPr>
      <w:suppressLineNumbers/>
      <w:spacing w:before="120" w:after="120"/>
    </w:pPr>
    <w:rPr>
      <w:rFonts w:cs="Arial"/>
      <w:i/>
      <w:iCs/>
      <w:sz w:val="24"/>
      <w:szCs w:val="24"/>
    </w:rPr>
  </w:style>
  <w:style w:type="paragraph" w:styleId="caption111111111111">
    <w:name w:val="caption111111111111"/>
    <w:basedOn w:val="Normal"/>
    <w:qFormat/>
    <w:pPr>
      <w:suppressLineNumbers/>
      <w:spacing w:before="120" w:after="120"/>
    </w:pPr>
    <w:rPr>
      <w:rFonts w:cs="Arial"/>
      <w:i/>
      <w:iCs/>
      <w:sz w:val="24"/>
      <w:szCs w:val="24"/>
    </w:rPr>
  </w:style>
  <w:style w:type="paragraph" w:styleId="caption1111111111111">
    <w:name w:val="caption1111111111111"/>
    <w:basedOn w:val="Normal"/>
    <w:qFormat/>
    <w:pPr>
      <w:suppressLineNumbers/>
      <w:spacing w:before="120" w:after="120"/>
    </w:pPr>
    <w:rPr>
      <w:rFonts w:cs="Arial"/>
      <w:i/>
      <w:iCs/>
      <w:sz w:val="24"/>
      <w:szCs w:val="24"/>
    </w:rPr>
  </w:style>
  <w:style w:type="paragraph" w:styleId="caption11111111111111">
    <w:name w:val="caption11111111111111"/>
    <w:basedOn w:val="Normal"/>
    <w:qFormat/>
    <w:pPr>
      <w:suppressLineNumbers/>
      <w:spacing w:before="120" w:after="120"/>
    </w:pPr>
    <w:rPr>
      <w:rFonts w:cs="Arial"/>
      <w:i/>
      <w:iCs/>
      <w:sz w:val="24"/>
      <w:szCs w:val="24"/>
    </w:rPr>
  </w:style>
  <w:style w:type="paragraph" w:styleId="caption111111111111111">
    <w:name w:val="caption111111111111111"/>
    <w:basedOn w:val="Normal"/>
    <w:qFormat/>
    <w:pPr>
      <w:suppressLineNumbers/>
      <w:spacing w:before="120" w:after="120"/>
    </w:pPr>
    <w:rPr>
      <w:rFonts w:cs="Arial"/>
      <w:i/>
      <w:iCs/>
      <w:sz w:val="24"/>
      <w:szCs w:val="24"/>
    </w:rPr>
  </w:style>
  <w:style w:type="paragraph" w:styleId="caption1111111111111111">
    <w:name w:val="caption1111111111111111"/>
    <w:basedOn w:val="Normal"/>
    <w:qFormat/>
    <w:pPr>
      <w:suppressLineNumbers/>
      <w:spacing w:before="120" w:after="120"/>
    </w:pPr>
    <w:rPr>
      <w:rFonts w:cs="Arial"/>
      <w:i/>
      <w:iCs/>
      <w:sz w:val="24"/>
      <w:szCs w:val="24"/>
    </w:rPr>
  </w:style>
  <w:style w:type="paragraph" w:styleId="caption11111111111111111">
    <w:name w:val="caption11111111111111111"/>
    <w:basedOn w:val="Normal"/>
    <w:qFormat/>
    <w:pPr>
      <w:suppressLineNumbers/>
      <w:spacing w:before="120" w:after="120"/>
    </w:pPr>
    <w:rPr>
      <w:rFonts w:cs="Arial"/>
      <w:i/>
      <w:iCs/>
      <w:sz w:val="24"/>
      <w:szCs w:val="24"/>
    </w:rPr>
  </w:style>
  <w:style w:type="paragraph" w:styleId="caption111111111111111111">
    <w:name w:val="caption111111111111111111"/>
    <w:basedOn w:val="Normal"/>
    <w:qFormat/>
    <w:pPr>
      <w:suppressLineNumbers/>
      <w:spacing w:before="120" w:after="120"/>
    </w:pPr>
    <w:rPr>
      <w:rFonts w:cs="Arial"/>
      <w:i/>
      <w:iCs/>
      <w:sz w:val="24"/>
      <w:szCs w:val="24"/>
    </w:rPr>
  </w:style>
  <w:style w:type="paragraph" w:styleId="caption1111111111111111111">
    <w:name w:val="caption1111111111111111111"/>
    <w:basedOn w:val="Normal"/>
    <w:qFormat/>
    <w:pPr>
      <w:suppressLineNumbers/>
      <w:spacing w:before="120" w:after="120"/>
    </w:pPr>
    <w:rPr>
      <w:rFonts w:cs="Lucida Sans"/>
      <w:i/>
      <w:iCs/>
      <w:sz w:val="24"/>
      <w:szCs w:val="24"/>
    </w:rPr>
  </w:style>
  <w:style w:type="paragraph" w:styleId="Default">
    <w:name w:val="Default"/>
    <w:qFormat/>
    <w:pPr>
      <w:widowControl/>
      <w:suppressAutoHyphens w:val="true"/>
      <w:overflowPunct w:val="false"/>
      <w:bidi w:val="0"/>
      <w:spacing w:before="0" w:after="0"/>
      <w:jc w:val="left"/>
    </w:pPr>
    <w:rPr>
      <w:rFonts w:ascii="Arial" w:hAnsi="Arial" w:eastAsia="Calibri" w:cs="Arial"/>
      <w:color w:val="000000"/>
      <w:kern w:val="0"/>
      <w:sz w:val="24"/>
      <w:szCs w:val="24"/>
      <w:lang w:val="pl-PL" w:eastAsia="zh-CN" w:bidi="ar-SA"/>
    </w:rPr>
  </w:style>
  <w:style w:type="paragraph" w:styleId="Gwkaistopkauser">
    <w:name w:val="Główka i stopka (user)"/>
    <w:basedOn w:val="Normal"/>
    <w:qFormat/>
    <w:pPr>
      <w:suppressLineNumbers/>
      <w:tabs>
        <w:tab w:val="clear" w:pos="708"/>
        <w:tab w:val="center" w:pos="4819" w:leader="none"/>
        <w:tab w:val="right" w:pos="9638" w:leader="none"/>
      </w:tabs>
    </w:pPr>
    <w:rPr/>
  </w:style>
  <w:style w:type="paragraph" w:styleId="Gwkaistopka">
    <w:name w:val="Główka i stopka"/>
    <w:basedOn w:val="Normal"/>
    <w:qFormat/>
    <w:pPr/>
    <w:rPr/>
  </w:style>
  <w:style w:type="paragraph" w:styleId="Header">
    <w:name w:val="header"/>
    <w:basedOn w:val="Normal"/>
    <w:pPr>
      <w:spacing w:lineRule="auto" w:line="240" w:before="0" w:after="0"/>
    </w:pPr>
    <w:rPr/>
  </w:style>
  <w:style w:type="paragraph" w:styleId="Footer">
    <w:name w:val="footer"/>
    <w:basedOn w:val="Normal"/>
    <w:pPr>
      <w:spacing w:lineRule="auto" w:line="240" w:before="0" w:after="0"/>
    </w:pPr>
    <w:rPr/>
  </w:style>
  <w:style w:type="paragraph" w:styleId="FootnoteText">
    <w:name w:val="footnote text"/>
    <w:basedOn w:val="Normal"/>
    <w:pPr>
      <w:spacing w:lineRule="auto" w:line="240" w:before="0" w:after="0"/>
    </w:pPr>
    <w:rPr>
      <w:sz w:val="20"/>
      <w:szCs w:val="20"/>
    </w:rPr>
  </w:style>
  <w:style w:type="paragraph" w:styleId="Tekstdymka">
    <w:name w:val="Tekst dymka"/>
    <w:basedOn w:val="Normal"/>
    <w:qFormat/>
    <w:pPr>
      <w:spacing w:lineRule="auto" w:line="240" w:before="0" w:after="0"/>
    </w:pPr>
    <w:rPr>
      <w:rFonts w:ascii="Segoe UI" w:hAnsi="Segoe UI" w:cs="Segoe UI"/>
      <w:sz w:val="18"/>
      <w:szCs w:val="18"/>
    </w:rPr>
  </w:style>
  <w:style w:type="paragraph" w:styleId="Zawartotabeliuser">
    <w:name w:val="Zawartość tabeli (user)"/>
    <w:basedOn w:val="Normal"/>
    <w:qFormat/>
    <w:pPr>
      <w:widowControl w:val="false"/>
      <w:suppressLineNumbers/>
    </w:pPr>
    <w:rPr/>
  </w:style>
  <w:style w:type="paragraph" w:styleId="Nagwektabeliuser">
    <w:name w:val="Nagłówek tabeli (user)"/>
    <w:basedOn w:val="Zawartotabeliuser"/>
    <w:qFormat/>
    <w:pPr>
      <w:suppressLineNumbers/>
      <w:jc w:val="center"/>
    </w:pPr>
    <w:rPr>
      <w:b/>
      <w:bCs/>
    </w:rPr>
  </w:style>
  <w:style w:type="paragraph" w:styleId="Akapitzlist">
    <w:name w:val="Akapit z listą"/>
    <w:basedOn w:val="Normal"/>
    <w:qFormat/>
    <w:pPr>
      <w:ind w:hanging="0" w:left="708" w:right="0"/>
    </w:pPr>
    <w:rPr/>
  </w:style>
  <w:style w:type="paragraph" w:styleId="Tekstpodstawowy2">
    <w:name w:val="Tekst podstawowy 2"/>
    <w:basedOn w:val="Normal"/>
    <w:qFormat/>
    <w:pPr>
      <w:suppressAutoHyphens w:val="true"/>
      <w:jc w:val="both"/>
    </w:pPr>
    <w:rPr>
      <w:rFonts w:ascii="Tahoma" w:hAnsi="Tahoma" w:cs="Tahoma"/>
      <w:iCs/>
      <w:sz w:val="20"/>
      <w:szCs w:val="20"/>
    </w:rPr>
  </w:style>
  <w:style w:type="paragraph" w:styleId="ListParagraph">
    <w:name w:val="List Paragraph"/>
    <w:qFormat/>
    <w:pPr>
      <w:widowControl w:val="false"/>
      <w:suppressAutoHyphens w:val="true"/>
      <w:overflowPunct w:val="false"/>
      <w:bidi w:val="0"/>
      <w:spacing w:lineRule="auto" w:line="276" w:before="0" w:after="200"/>
      <w:ind w:hanging="0" w:left="720" w:right="0"/>
      <w:jc w:val="left"/>
    </w:pPr>
    <w:rPr>
      <w:rFonts w:ascii="Constantia" w:hAnsi="Constantia" w:eastAsia="Arial Unicode MS" w:cs="Times New Roman"/>
      <w:color w:val="auto"/>
      <w:kern w:val="2"/>
      <w:sz w:val="22"/>
      <w:szCs w:val="22"/>
      <w:lang w:val="pl-PL" w:eastAsia="zh-CN" w:bidi="ar-SA"/>
    </w:rPr>
  </w:style>
  <w:style w:type="paragraph" w:styleId="footnotedescription">
    <w:name w:val="footnote description"/>
    <w:next w:val="Normal"/>
    <w:qFormat/>
    <w:pPr>
      <w:widowControl/>
      <w:suppressAutoHyphens w:val="true"/>
      <w:overflowPunct w:val="false"/>
      <w:bidi w:val="0"/>
      <w:spacing w:lineRule="auto" w:line="252" w:before="0" w:after="0"/>
      <w:jc w:val="left"/>
    </w:pPr>
    <w:rPr>
      <w:rFonts w:ascii="Verdana" w:hAnsi="Verdana" w:eastAsia="Verdana" w:cs="Verdana"/>
      <w:color w:val="000000"/>
      <w:kern w:val="0"/>
      <w:sz w:val="24"/>
      <w:szCs w:val="22"/>
      <w:lang w:val="pl-PL" w:eastAsia="zh-CN" w:bidi="hi-IN"/>
    </w:rPr>
  </w:style>
  <w:style w:type="paragraph" w:styleId="Annexetitre">
    <w:name w:val="Annexe titre"/>
    <w:basedOn w:val="Normal"/>
    <w:next w:val="Normal"/>
    <w:qFormat/>
    <w:pPr>
      <w:jc w:val="center"/>
    </w:pPr>
    <w:rPr>
      <w:b/>
      <w:u w:val="single"/>
    </w:rPr>
  </w:style>
  <w:style w:type="paragraph" w:styleId="BodyTextIndent">
    <w:name w:val="Body Text Indent"/>
    <w:basedOn w:val="Normal"/>
    <w:pPr>
      <w:suppressAutoHyphens w:val="true"/>
      <w:ind w:hanging="0" w:left="-30" w:right="0"/>
    </w:pPr>
    <w:rPr>
      <w:rFonts w:ascii="Tahoma" w:hAnsi="Tahoma" w:cs="Tahoma"/>
      <w:iCs/>
      <w:sz w:val="20"/>
      <w:szCs w:val="20"/>
    </w:rPr>
  </w:style>
  <w:style w:type="paragraph" w:styleId="NormalTable">
    <w:name w:val="Normal Table"/>
    <w:qFormat/>
    <w:pPr>
      <w:widowControl w:val="false"/>
      <w:suppressAutoHyphens w:val="true"/>
      <w:overflowPunct w:val="false"/>
      <w:bidi w:val="0"/>
      <w:spacing w:before="0" w:after="0"/>
      <w:jc w:val="left"/>
    </w:pPr>
    <w:rPr>
      <w:rFonts w:ascii="Times New Roman" w:hAnsi="Times New Roman" w:eastAsia="Arial" w:cs="Times New Roman"/>
      <w:color w:val="auto"/>
      <w:kern w:val="2"/>
      <w:sz w:val="20"/>
      <w:szCs w:val="20"/>
      <w:lang w:val="pl-PL" w:eastAsia="zh-CN" w:bidi="ar-SA"/>
    </w:rPr>
  </w:style>
  <w:style w:type="paragraph" w:styleId="Style91">
    <w:name w:val="Style9"/>
    <w:basedOn w:val="Normal"/>
    <w:qFormat/>
    <w:pPr>
      <w:spacing w:lineRule="exact" w:line="235"/>
      <w:jc w:val="both"/>
    </w:pPr>
    <w:rPr>
      <w:rFonts w:ascii="Franklin Gothic Demi" w:hAnsi="Franklin Gothic Demi" w:eastAsia="Franklin Gothic Demi" w:cs="Franklin Gothic Demi"/>
      <w:lang w:eastAsia="pl-PL"/>
    </w:rPr>
  </w:style>
  <w:style w:type="paragraph" w:styleId="footnotetext1">
    <w:name w:val="footnote text1"/>
    <w:basedOn w:val="Normal"/>
    <w:qFormat/>
    <w:pPr>
      <w:spacing w:lineRule="atLeast" w:line="100" w:before="0" w:after="0"/>
    </w:pPr>
    <w:rPr>
      <w:sz w:val="20"/>
      <w:szCs w:val="20"/>
    </w:rPr>
  </w:style>
  <w:style w:type="paragraph" w:styleId="Standard">
    <w:name w:val="Standard"/>
    <w:qFormat/>
    <w:pPr>
      <w:widowControl w:val="false"/>
      <w:suppressAutoHyphens w:val="true"/>
      <w:overflowPunct w:val="false"/>
      <w:bidi w:val="0"/>
      <w:spacing w:lineRule="auto" w:line="240" w:before="0" w:after="0"/>
      <w:jc w:val="left"/>
      <w:textAlignment w:val="baseline"/>
    </w:pPr>
    <w:rPr>
      <w:rFonts w:ascii="Times New Roman" w:hAnsi="Times New Roman" w:eastAsia="SimSun" w:cs="Mangal"/>
      <w:color w:val="auto"/>
      <w:kern w:val="2"/>
      <w:sz w:val="24"/>
      <w:szCs w:val="24"/>
      <w:lang w:val="pl-PL" w:eastAsia="zh-CN" w:bidi="ar-SA"/>
    </w:rPr>
  </w:style>
  <w:style w:type="paragraph" w:styleId="WW-Tekstpodstawowy2">
    <w:name w:val="WW-Tekst podstawowy 2"/>
    <w:basedOn w:val="Standard"/>
    <w:qFormat/>
    <w:pPr>
      <w:ind w:hanging="0" w:left="0" w:right="849"/>
      <w:jc w:val="center"/>
    </w:pPr>
    <w:rPr>
      <w:b/>
    </w:rPr>
  </w:style>
  <w:style w:type="paragraph" w:styleId="Tekstpodstawowy32">
    <w:name w:val="Tekst podstawowy 32"/>
    <w:basedOn w:val="Normal"/>
    <w:qFormat/>
    <w:pPr>
      <w:suppressAutoHyphens w:val="true"/>
      <w:spacing w:lineRule="auto" w:line="252"/>
      <w:jc w:val="both"/>
    </w:pPr>
    <w:rPr>
      <w:rFonts w:ascii="Calibri" w:hAnsi="Calibri" w:eastAsia="Calibri" w:cs="Times New Roman"/>
      <w:b/>
      <w:szCs w:val="20"/>
      <w:lang w:eastAsia="zh-CN"/>
    </w:rPr>
  </w:style>
  <w:style w:type="paragraph" w:styleId="pkt">
    <w:name w:val="pkt"/>
    <w:basedOn w:val="Normal"/>
    <w:next w:val="Normal"/>
    <w:qFormat/>
    <w:pPr/>
    <w:rPr>
      <w:sz w:val="24"/>
      <w:szCs w:val="24"/>
    </w:rPr>
  </w:style>
  <w:style w:type="paragraph" w:styleId="Tekstpodstawowy26">
    <w:name w:val="Tekst podstawowy 26"/>
    <w:basedOn w:val="Normal"/>
    <w:qFormat/>
    <w:pPr>
      <w:suppressAutoHyphens w:val="true"/>
      <w:jc w:val="both"/>
    </w:pPr>
    <w:rPr>
      <w:rFonts w:ascii="Tahoma" w:hAnsi="Tahoma" w:cs="Tahoma"/>
      <w:iCs/>
      <w:sz w:val="20"/>
      <w:szCs w:val="20"/>
    </w:rPr>
  </w:style>
  <w:style w:type="paragraph" w:styleId="Teksttreci1">
    <w:name w:val="Tekst treści"/>
    <w:basedOn w:val="Normal"/>
    <w:qFormat/>
    <w:pPr>
      <w:shd w:val="clear" w:fill="FFFFFF"/>
      <w:spacing w:lineRule="atLeast" w:line="240"/>
      <w:ind w:hanging="1700" w:left="0" w:right="0"/>
    </w:pPr>
    <w:rPr>
      <w:rFonts w:ascii="Verdana" w:hAnsi="Verdana" w:cs="Verdana"/>
      <w:sz w:val="19"/>
      <w:szCs w:val="19"/>
      <w:lang w:bidi="ne-IN"/>
    </w:rPr>
  </w:style>
  <w:style w:type="paragraph" w:styleId="Textbody">
    <w:name w:val="Text body"/>
    <w:basedOn w:val="Normal"/>
    <w:qFormat/>
    <w:pPr>
      <w:widowControl w:val="false"/>
      <w:spacing w:lineRule="exact" w:line="240" w:before="0" w:after="120"/>
      <w:textAlignment w:val="baseline"/>
    </w:pPr>
    <w:rPr>
      <w:rFonts w:ascii="Arial" w:hAnsi="Arial" w:eastAsia="Arial" w:cs="Arial"/>
      <w:color w:val="000000"/>
    </w:rPr>
  </w:style>
  <w:style w:type="paragraph" w:styleId="WD2Tekst">
    <w:name w:val="WD2_Tekst"/>
    <w:basedOn w:val="Normal"/>
    <w:qFormat/>
    <w:pPr>
      <w:spacing w:lineRule="exact" w:line="360" w:before="0" w:after="120"/>
    </w:pPr>
    <w:rPr>
      <w:rFonts w:ascii="Humnst777CnEU" w:hAnsi="Humnst777CnEU" w:eastAsia="Times New Roman" w:cs="Times New Roman"/>
      <w:color w:val="404040"/>
      <w:sz w:val="20"/>
      <w:szCs w:val="20"/>
      <w:lang w:eastAsia="pl-PL"/>
    </w:rPr>
  </w:style>
  <w:style w:type="paragraph" w:styleId="caption11111111111111111111">
    <w:name w:val="caption11111111111111111111"/>
    <w:basedOn w:val="Normal"/>
    <w:next w:val="Normal"/>
    <w:qFormat/>
    <w:pPr>
      <w:spacing w:lineRule="exact" w:line="240" w:before="0" w:after="200"/>
      <w:jc w:val="both"/>
    </w:pPr>
    <w:rPr>
      <w:rFonts w:ascii="Verdana" w:hAnsi="Verdana" w:eastAsia="Calibri" w:cs="Times New Roman"/>
      <w:b/>
      <w:bCs/>
      <w:color w:val="4F81BD"/>
      <w:sz w:val="18"/>
      <w:szCs w:val="18"/>
      <w:lang w:eastAsia="pl-PL"/>
    </w:rPr>
  </w:style>
  <w:style w:type="paragraph" w:styleId="Akapitzlist4">
    <w:name w:val="Akapit z listą4"/>
    <w:basedOn w:val="Normal"/>
    <w:qFormat/>
    <w:pPr>
      <w:spacing w:lineRule="exact" w:line="240" w:before="0" w:after="0"/>
      <w:ind w:hanging="0" w:left="720" w:right="0"/>
    </w:pPr>
    <w:rPr>
      <w:rFonts w:ascii="Times New Roman" w:hAnsi="Times New Roman" w:eastAsia="Calibri" w:cs="Times New Roman"/>
      <w:sz w:val="20"/>
      <w:szCs w:val="20"/>
    </w:rPr>
  </w:style>
  <w:style w:type="paragraph" w:styleId="Tekstpodstawowy22">
    <w:name w:val="Tekst podstawowy 22"/>
    <w:basedOn w:val="Normal"/>
    <w:qFormat/>
    <w:pPr>
      <w:spacing w:lineRule="exact" w:line="240" w:before="0" w:after="0"/>
      <w:jc w:val="both"/>
    </w:pPr>
    <w:rPr>
      <w:rFonts w:ascii="Times New Roman" w:hAnsi="Times New Roman" w:eastAsia="Times New Roman" w:cs="Times New Roman"/>
      <w:sz w:val="20"/>
      <w:szCs w:val="20"/>
      <w:lang w:eastAsia="pl-PL"/>
    </w:rPr>
  </w:style>
  <w:style w:type="paragraph" w:styleId="gwpb9b8d9b5western">
    <w:name w:val="gwpb9b8d9b5_western"/>
    <w:basedOn w:val="Normal"/>
    <w:qFormat/>
    <w:pPr>
      <w:spacing w:lineRule="exact" w:line="240" w:before="100" w:after="100"/>
    </w:pPr>
    <w:rPr>
      <w:rFonts w:ascii="Times New Roman" w:hAnsi="Times New Roman" w:eastAsia="Times New Roman" w:cs="Times New Roman"/>
      <w:lang w:eastAsia="pl-PL"/>
    </w:rPr>
  </w:style>
  <w:style w:type="paragraph" w:styleId="ZnakZnakZnakZnakZnak1">
    <w:name w:val="Znak Znak Znak Znak Znak1"/>
    <w:basedOn w:val="Normal"/>
    <w:qFormat/>
    <w:pPr>
      <w:spacing w:lineRule="exact" w:line="240" w:before="0" w:after="0"/>
    </w:pPr>
    <w:rPr>
      <w:rFonts w:ascii="Arial" w:hAnsi="Arial" w:eastAsia="Calibri" w:cs="Arial"/>
      <w:lang w:eastAsia="pl-PL"/>
    </w:rPr>
  </w:style>
  <w:style w:type="paragraph" w:styleId="ZnakZnakZnakZnakZnak">
    <w:name w:val="Znak Znak Znak Znak Znak"/>
    <w:basedOn w:val="Normal"/>
    <w:qFormat/>
    <w:pPr>
      <w:spacing w:lineRule="exact" w:line="240" w:before="0" w:after="0"/>
    </w:pPr>
    <w:rPr>
      <w:rFonts w:ascii="Arial" w:hAnsi="Arial" w:eastAsia="Calibri" w:cs="Arial"/>
      <w:lang w:eastAsia="pl-PL"/>
    </w:rPr>
  </w:style>
  <w:style w:type="paragraph" w:styleId="Akapitzlist1">
    <w:name w:val="Akapit z listą1"/>
    <w:basedOn w:val="Normal"/>
    <w:qFormat/>
    <w:pPr>
      <w:spacing w:lineRule="exact" w:line="276" w:before="0" w:after="200"/>
      <w:ind w:hanging="0" w:left="720" w:right="0"/>
    </w:pPr>
    <w:rPr>
      <w:rFonts w:ascii="Calibri" w:hAnsi="Calibri" w:eastAsia="Times New Roman" w:cs="Times New Roman"/>
    </w:rPr>
  </w:style>
  <w:style w:type="paragraph" w:styleId="xl92">
    <w:name w:val="xl92"/>
    <w:basedOn w:val="Normal"/>
    <w:qFormat/>
    <w:pPr>
      <w:pBdr>
        <w:bottom w:val="single" w:sz="4" w:space="0" w:color="000000"/>
      </w:pBdr>
      <w:spacing w:lineRule="exact" w:line="240" w:before="100" w:after="100"/>
      <w:textAlignment w:val="center"/>
    </w:pPr>
    <w:rPr>
      <w:rFonts w:ascii="Times New Roman" w:hAnsi="Times New Roman" w:eastAsia="Times New Roman" w:cs="Times New Roman"/>
      <w:sz w:val="16"/>
      <w:szCs w:val="16"/>
      <w:lang w:eastAsia="pl-PL"/>
    </w:rPr>
  </w:style>
  <w:style w:type="paragraph" w:styleId="xl91">
    <w:name w:val="xl91"/>
    <w:basedOn w:val="Normal"/>
    <w:qFormat/>
    <w:pPr>
      <w:pBdr>
        <w:bottom w:val="single" w:sz="4" w:space="0" w:color="000000"/>
      </w:pBdr>
      <w:spacing w:lineRule="exact" w:line="240" w:before="100" w:after="100"/>
    </w:pPr>
    <w:rPr>
      <w:rFonts w:ascii="Times New Roman" w:hAnsi="Times New Roman" w:eastAsia="Times New Roman" w:cs="Times New Roman"/>
      <w:sz w:val="16"/>
      <w:szCs w:val="16"/>
      <w:lang w:eastAsia="pl-PL"/>
    </w:rPr>
  </w:style>
  <w:style w:type="paragraph" w:styleId="xl90">
    <w:name w:val="xl90"/>
    <w:basedOn w:val="Normal"/>
    <w:qFormat/>
    <w:pPr>
      <w:spacing w:lineRule="exact" w:line="240" w:before="100" w:after="100"/>
    </w:pPr>
    <w:rPr>
      <w:rFonts w:ascii="Times New Roman" w:hAnsi="Times New Roman" w:eastAsia="Times New Roman" w:cs="Times New Roman"/>
      <w:b/>
      <w:bCs/>
      <w:sz w:val="16"/>
      <w:szCs w:val="16"/>
      <w:lang w:eastAsia="pl-PL"/>
    </w:rPr>
  </w:style>
  <w:style w:type="paragraph" w:styleId="xl89">
    <w:name w:val="xl89"/>
    <w:basedOn w:val="Normal"/>
    <w:qFormat/>
    <w:pPr>
      <w:spacing w:lineRule="exact" w:line="240" w:before="100" w:after="100"/>
    </w:pPr>
    <w:rPr>
      <w:rFonts w:ascii="Times New Roman" w:hAnsi="Times New Roman" w:eastAsia="Times New Roman" w:cs="Times New Roman"/>
      <w:lang w:eastAsia="pl-PL"/>
    </w:rPr>
  </w:style>
  <w:style w:type="paragraph" w:styleId="xl88">
    <w:name w:val="xl88"/>
    <w:basedOn w:val="Normal"/>
    <w:qFormat/>
    <w:pPr>
      <w:spacing w:lineRule="exact" w:line="240" w:before="100" w:after="100"/>
    </w:pPr>
    <w:rPr>
      <w:rFonts w:ascii="Times New Roman" w:hAnsi="Times New Roman" w:eastAsia="Times New Roman" w:cs="Times New Roman"/>
      <w:sz w:val="16"/>
      <w:szCs w:val="16"/>
      <w:lang w:eastAsia="pl-PL"/>
    </w:rPr>
  </w:style>
  <w:style w:type="paragraph" w:styleId="xl87">
    <w:name w:val="xl87"/>
    <w:basedOn w:val="Normal"/>
    <w:qFormat/>
    <w:pPr>
      <w:pBdr>
        <w:top w:val="single" w:sz="4" w:space="0" w:color="000000"/>
        <w:left w:val="single" w:sz="4" w:space="0" w:color="000000"/>
        <w:bottom w:val="single" w:sz="4" w:space="0" w:color="000000"/>
        <w:right w:val="single" w:sz="4" w:space="0" w:color="000000"/>
      </w:pBdr>
      <w:spacing w:lineRule="exact" w:line="240" w:before="100" w:after="100"/>
    </w:pPr>
    <w:rPr>
      <w:rFonts w:ascii="Times New Roman" w:hAnsi="Times New Roman" w:eastAsia="Times New Roman" w:cs="Times New Roman"/>
      <w:sz w:val="16"/>
      <w:szCs w:val="16"/>
      <w:lang w:eastAsia="pl-PL"/>
    </w:rPr>
  </w:style>
  <w:style w:type="paragraph" w:styleId="xl86">
    <w:name w:val="xl86"/>
    <w:basedOn w:val="Normal"/>
    <w:qFormat/>
    <w:pPr>
      <w:pBdr>
        <w:left w:val="single" w:sz="4" w:space="0" w:color="000000"/>
        <w:bottom w:val="single" w:sz="4" w:space="0" w:color="000000"/>
      </w:pBdr>
      <w:spacing w:lineRule="exact" w:line="240" w:before="100" w:after="100"/>
      <w:textAlignment w:val="center"/>
    </w:pPr>
    <w:rPr>
      <w:rFonts w:ascii="Times New Roman" w:hAnsi="Times New Roman" w:eastAsia="Times New Roman" w:cs="Times New Roman"/>
      <w:sz w:val="16"/>
      <w:szCs w:val="16"/>
      <w:lang w:eastAsia="pl-PL"/>
    </w:rPr>
  </w:style>
  <w:style w:type="paragraph" w:styleId="xl85">
    <w:name w:val="xl85"/>
    <w:basedOn w:val="Normal"/>
    <w:qFormat/>
    <w:pPr>
      <w:spacing w:lineRule="exact" w:line="240" w:before="100" w:after="100"/>
      <w:textAlignment w:val="center"/>
    </w:pPr>
    <w:rPr>
      <w:rFonts w:ascii="Times New Roman" w:hAnsi="Times New Roman" w:eastAsia="Times New Roman" w:cs="Times New Roman"/>
      <w:color w:val="FF0000"/>
      <w:sz w:val="16"/>
      <w:szCs w:val="16"/>
      <w:lang w:eastAsia="pl-PL"/>
    </w:rPr>
  </w:style>
  <w:style w:type="paragraph" w:styleId="xl84">
    <w:name w:val="xl84"/>
    <w:basedOn w:val="Normal"/>
    <w:qFormat/>
    <w:pPr>
      <w:spacing w:lineRule="exact" w:line="240" w:before="100" w:after="100"/>
      <w:jc w:val="right"/>
      <w:textAlignment w:val="center"/>
    </w:pPr>
    <w:rPr>
      <w:rFonts w:ascii="Times New Roman" w:hAnsi="Times New Roman" w:eastAsia="Times New Roman" w:cs="Times New Roman"/>
      <w:color w:val="FF0000"/>
      <w:sz w:val="16"/>
      <w:szCs w:val="16"/>
      <w:lang w:eastAsia="pl-PL"/>
    </w:rPr>
  </w:style>
  <w:style w:type="paragraph" w:styleId="xl83">
    <w:name w:val="xl83"/>
    <w:basedOn w:val="Normal"/>
    <w:qFormat/>
    <w:pPr>
      <w:pBdr>
        <w:top w:val="single" w:sz="4" w:space="0" w:color="000000"/>
        <w:right w:val="single" w:sz="4" w:space="0" w:color="000000"/>
      </w:pBdr>
      <w:spacing w:lineRule="exact" w:line="240" w:before="100" w:after="100"/>
      <w:textAlignment w:val="center"/>
    </w:pPr>
    <w:rPr>
      <w:rFonts w:ascii="Times New Roman" w:hAnsi="Times New Roman" w:eastAsia="Times New Roman" w:cs="Times New Roman"/>
      <w:sz w:val="16"/>
      <w:szCs w:val="16"/>
      <w:lang w:eastAsia="pl-PL"/>
    </w:rPr>
  </w:style>
  <w:style w:type="paragraph" w:styleId="xl82">
    <w:name w:val="xl82"/>
    <w:basedOn w:val="Normal"/>
    <w:qFormat/>
    <w:pPr>
      <w:spacing w:lineRule="exact" w:line="240" w:before="100" w:after="100"/>
    </w:pPr>
    <w:rPr>
      <w:rFonts w:ascii="Times New Roman" w:hAnsi="Times New Roman" w:eastAsia="Times New Roman" w:cs="Times New Roman"/>
      <w:sz w:val="16"/>
      <w:szCs w:val="16"/>
      <w:lang w:eastAsia="pl-PL"/>
    </w:rPr>
  </w:style>
  <w:style w:type="paragraph" w:styleId="xl81">
    <w:name w:val="xl81"/>
    <w:basedOn w:val="Normal"/>
    <w:qFormat/>
    <w:pPr>
      <w:spacing w:lineRule="exact" w:line="240" w:before="100" w:after="100"/>
      <w:textAlignment w:val="center"/>
    </w:pPr>
    <w:rPr>
      <w:rFonts w:ascii="Times New Roman" w:hAnsi="Times New Roman" w:eastAsia="Times New Roman" w:cs="Times New Roman"/>
      <w:b/>
      <w:bCs/>
      <w:color w:val="FF0000"/>
      <w:sz w:val="16"/>
      <w:szCs w:val="16"/>
      <w:lang w:eastAsia="pl-PL"/>
    </w:rPr>
  </w:style>
  <w:style w:type="paragraph" w:styleId="xl80">
    <w:name w:val="xl80"/>
    <w:basedOn w:val="Normal"/>
    <w:qFormat/>
    <w:pPr>
      <w:spacing w:lineRule="exact" w:line="240" w:before="100" w:after="100"/>
    </w:pPr>
    <w:rPr>
      <w:rFonts w:ascii="Times New Roman" w:hAnsi="Times New Roman" w:eastAsia="Times New Roman" w:cs="Times New Roman"/>
      <w:sz w:val="16"/>
      <w:szCs w:val="16"/>
      <w:lang w:eastAsia="pl-PL"/>
    </w:rPr>
  </w:style>
  <w:style w:type="paragraph" w:styleId="Styl3">
    <w:name w:val="Styl3"/>
    <w:basedOn w:val="Normal"/>
    <w:qFormat/>
    <w:pPr>
      <w:spacing w:lineRule="exact" w:line="360" w:before="0" w:after="0"/>
      <w:jc w:val="both"/>
    </w:pPr>
    <w:rPr>
      <w:rFonts w:ascii="Times New Roman" w:hAnsi="Times New Roman" w:eastAsia="Times New Roman" w:cs="Times New Roman"/>
      <w:szCs w:val="20"/>
      <w:lang w:eastAsia="ar-SA"/>
    </w:rPr>
  </w:style>
  <w:style w:type="paragraph" w:styleId="addr">
    <w:name w:val="addr"/>
    <w:basedOn w:val="Normal"/>
    <w:qFormat/>
    <w:pPr>
      <w:spacing w:lineRule="exact" w:line="240" w:before="100" w:after="100"/>
    </w:pPr>
    <w:rPr>
      <w:rFonts w:ascii="Times New Roman" w:hAnsi="Times New Roman" w:eastAsia="Times New Roman" w:cs="Times New Roman"/>
      <w:lang w:eastAsia="pl-PL"/>
    </w:rPr>
  </w:style>
  <w:style w:type="paragraph" w:styleId="TableText">
    <w:name w:val="Table Text"/>
    <w:qFormat/>
    <w:pPr>
      <w:widowControl/>
      <w:suppressAutoHyphens w:val="true"/>
      <w:bidi w:val="0"/>
      <w:spacing w:lineRule="auto" w:line="240" w:before="0" w:after="0"/>
      <w:jc w:val="left"/>
    </w:pPr>
    <w:rPr>
      <w:rFonts w:ascii="Arial" w:hAnsi="Arial" w:eastAsia="Times New Roman" w:cs="Arial"/>
      <w:color w:val="000000"/>
      <w:kern w:val="2"/>
      <w:sz w:val="20"/>
      <w:szCs w:val="20"/>
      <w:lang w:val="pl-PL" w:eastAsia="pl-PL" w:bidi="hi-IN"/>
    </w:rPr>
  </w:style>
  <w:style w:type="paragraph" w:styleId="Podstawowy2">
    <w:name w:val="Podstawowy2"/>
    <w:basedOn w:val="Normal"/>
    <w:next w:val="Normal"/>
    <w:qFormat/>
    <w:pPr>
      <w:widowControl w:val="false"/>
      <w:spacing w:lineRule="exact" w:line="360" w:before="0" w:after="0"/>
      <w:jc w:val="both"/>
    </w:pPr>
    <w:rPr>
      <w:rFonts w:ascii="Times New Roman" w:hAnsi="Times New Roman" w:eastAsia="Times New Roman" w:cs="Times New Roman"/>
      <w:lang w:eastAsia="pl-PL"/>
    </w:rPr>
  </w:style>
  <w:style w:type="paragraph" w:styleId="NA">
    <w:name w:val="N/A"/>
    <w:basedOn w:val="Normal"/>
    <w:qFormat/>
    <w:pPr>
      <w:tabs>
        <w:tab w:val="clear" w:pos="708"/>
        <w:tab w:val="left" w:pos="9000" w:leader="none"/>
        <w:tab w:val="right" w:pos="9360" w:leader="none"/>
      </w:tabs>
      <w:spacing w:lineRule="exact" w:line="240" w:before="0" w:after="0"/>
    </w:pPr>
    <w:rPr>
      <w:rFonts w:ascii="CG Times" w:hAnsi="CG Times" w:eastAsia="Times New Roman" w:cs="Times New Roman"/>
      <w:szCs w:val="20"/>
      <w:lang w:val="en-US" w:eastAsia="pl-PL"/>
    </w:rPr>
  </w:style>
  <w:style w:type="paragraph" w:styleId="FR1">
    <w:name w:val="FR1"/>
    <w:qFormat/>
    <w:pPr>
      <w:widowControl w:val="false"/>
      <w:suppressAutoHyphens w:val="true"/>
      <w:bidi w:val="0"/>
      <w:spacing w:lineRule="auto" w:line="240" w:before="20" w:after="0"/>
      <w:ind w:hanging="0" w:left="360" w:right="0"/>
      <w:jc w:val="left"/>
    </w:pPr>
    <w:rPr>
      <w:rFonts w:ascii="Times New Roman" w:hAnsi="Times New Roman" w:eastAsia="Times New Roman" w:cs="Times New Roman"/>
      <w:b/>
      <w:bCs/>
      <w:color w:val="auto"/>
      <w:kern w:val="2"/>
      <w:sz w:val="28"/>
      <w:szCs w:val="28"/>
      <w:lang w:val="pl-PL" w:eastAsia="pl-PL" w:bidi="hi-IN"/>
    </w:rPr>
  </w:style>
  <w:style w:type="paragraph" w:styleId="xl79">
    <w:name w:val="xl79"/>
    <w:basedOn w:val="Normal"/>
    <w:qFormat/>
    <w:pPr>
      <w:pBdr>
        <w:left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78">
    <w:name w:val="xl78"/>
    <w:basedOn w:val="Normal"/>
    <w:qFormat/>
    <w:pPr>
      <w:pBdr>
        <w:top w:val="single" w:sz="4" w:space="0" w:color="000000"/>
        <w:left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77">
    <w:name w:val="xl77"/>
    <w:basedOn w:val="Normal"/>
    <w:qFormat/>
    <w:pPr>
      <w:pBdr>
        <w:top w:val="single" w:sz="4" w:space="0" w:color="000000"/>
        <w:left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76">
    <w:name w:val="xl76"/>
    <w:basedOn w:val="Normal"/>
    <w:qFormat/>
    <w:pPr>
      <w:pBdr>
        <w:left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75">
    <w:name w:val="xl75"/>
    <w:basedOn w:val="Normal"/>
    <w:qFormat/>
    <w:pPr>
      <w:spacing w:lineRule="exact" w:line="240" w:before="100" w:after="100"/>
      <w:textAlignment w:val="center"/>
    </w:pPr>
    <w:rPr>
      <w:rFonts w:ascii="Arial" w:hAnsi="Arial" w:eastAsia="Calibri" w:cs="Arial"/>
      <w:b/>
      <w:bCs/>
      <w:lang w:eastAsia="pl-PL"/>
    </w:rPr>
  </w:style>
  <w:style w:type="paragraph" w:styleId="xl74">
    <w:name w:val="xl74"/>
    <w:basedOn w:val="Normal"/>
    <w:qFormat/>
    <w:pPr>
      <w:spacing w:lineRule="exact" w:line="240" w:before="100" w:after="100"/>
    </w:pPr>
    <w:rPr>
      <w:rFonts w:ascii="Arial" w:hAnsi="Arial" w:eastAsia="Calibri" w:cs="Arial"/>
      <w:b/>
      <w:bCs/>
      <w:lang w:eastAsia="pl-PL"/>
    </w:rPr>
  </w:style>
  <w:style w:type="paragraph" w:styleId="xl73">
    <w:name w:val="xl73"/>
    <w:basedOn w:val="Normal"/>
    <w:qFormat/>
    <w:pPr>
      <w:pBdr>
        <w:left w:val="single" w:sz="4" w:space="0" w:color="000000"/>
        <w:bottom w:val="single" w:sz="4" w:space="0" w:color="000000"/>
      </w:pBdr>
      <w:spacing w:lineRule="exact" w:line="240" w:before="100" w:after="100"/>
    </w:pPr>
    <w:rPr>
      <w:rFonts w:ascii="Arial" w:hAnsi="Arial" w:eastAsia="Calibri" w:cs="Arial"/>
      <w:color w:val="000000"/>
      <w:lang w:eastAsia="pl-PL"/>
    </w:rPr>
  </w:style>
  <w:style w:type="paragraph" w:styleId="xl72">
    <w:name w:val="xl72"/>
    <w:basedOn w:val="Normal"/>
    <w:qFormat/>
    <w:pPr>
      <w:pBdr>
        <w:top w:val="single" w:sz="4" w:space="0" w:color="000000"/>
        <w:left w:val="single" w:sz="4" w:space="0" w:color="000000"/>
      </w:pBdr>
      <w:spacing w:lineRule="exact" w:line="240" w:before="100" w:after="100"/>
    </w:pPr>
    <w:rPr>
      <w:rFonts w:ascii="Arial" w:hAnsi="Arial" w:eastAsia="Calibri" w:cs="Arial"/>
      <w:color w:val="000000"/>
      <w:lang w:eastAsia="pl-PL"/>
    </w:rPr>
  </w:style>
  <w:style w:type="paragraph" w:styleId="xl71">
    <w:name w:val="xl71"/>
    <w:basedOn w:val="Normal"/>
    <w:qFormat/>
    <w:pPr>
      <w:spacing w:lineRule="exact" w:line="240" w:before="100" w:after="100"/>
      <w:jc w:val="both"/>
    </w:pPr>
    <w:rPr>
      <w:rFonts w:ascii="Arial" w:hAnsi="Arial" w:eastAsia="Calibri" w:cs="Arial"/>
      <w:lang w:eastAsia="pl-PL"/>
    </w:rPr>
  </w:style>
  <w:style w:type="paragraph" w:styleId="xl70">
    <w:name w:val="xl70"/>
    <w:basedOn w:val="Normal"/>
    <w:qFormat/>
    <w:pPr>
      <w:spacing w:lineRule="exact" w:line="240" w:before="100" w:after="100"/>
    </w:pPr>
    <w:rPr>
      <w:rFonts w:ascii="Arial" w:hAnsi="Arial" w:eastAsia="Calibri" w:cs="Arial"/>
      <w:lang w:eastAsia="pl-PL"/>
    </w:rPr>
  </w:style>
  <w:style w:type="paragraph" w:styleId="xl69">
    <w:name w:val="xl69"/>
    <w:basedOn w:val="Normal"/>
    <w:qFormat/>
    <w:pPr>
      <w:pBdr>
        <w:left w:val="single" w:sz="4" w:space="0" w:color="000000"/>
        <w:bottom w:val="single" w:sz="4" w:space="0" w:color="000000"/>
        <w:right w:val="single" w:sz="4" w:space="0" w:color="000000"/>
      </w:pBdr>
      <w:spacing w:lineRule="exact" w:line="240" w:before="100" w:after="100"/>
    </w:pPr>
    <w:rPr>
      <w:rFonts w:ascii="Arial" w:hAnsi="Arial" w:eastAsia="Calibri" w:cs="Arial"/>
      <w:color w:val="000000"/>
      <w:lang w:eastAsia="pl-PL"/>
    </w:rPr>
  </w:style>
  <w:style w:type="paragraph" w:styleId="xl68">
    <w:name w:val="xl68"/>
    <w:basedOn w:val="Normal"/>
    <w:qFormat/>
    <w:pPr>
      <w:pBdr>
        <w:top w:val="single" w:sz="4" w:space="0" w:color="000000"/>
        <w:left w:val="single" w:sz="4" w:space="0" w:color="000000"/>
        <w:bottom w:val="single" w:sz="4" w:space="0" w:color="000000"/>
        <w:right w:val="single" w:sz="4" w:space="0" w:color="000000"/>
      </w:pBdr>
      <w:spacing w:lineRule="exact" w:line="240" w:before="100" w:after="100"/>
    </w:pPr>
    <w:rPr>
      <w:rFonts w:ascii="Arial" w:hAnsi="Arial" w:eastAsia="Calibri" w:cs="Arial"/>
      <w:color w:val="000000"/>
      <w:lang w:eastAsia="pl-PL"/>
    </w:rPr>
  </w:style>
  <w:style w:type="paragraph" w:styleId="xl67">
    <w:name w:val="xl67"/>
    <w:basedOn w:val="Normal"/>
    <w:qFormat/>
    <w:pPr>
      <w:pBdr>
        <w:top w:val="single" w:sz="4" w:space="0" w:color="000000"/>
        <w:left w:val="single" w:sz="4" w:space="0" w:color="000000"/>
        <w:right w:val="single" w:sz="4" w:space="0" w:color="000000"/>
      </w:pBdr>
      <w:spacing w:lineRule="exact" w:line="240" w:before="100" w:after="100"/>
    </w:pPr>
    <w:rPr>
      <w:rFonts w:ascii="Arial" w:hAnsi="Arial" w:eastAsia="Calibri" w:cs="Arial"/>
      <w:color w:val="000000"/>
      <w:lang w:eastAsia="pl-PL"/>
    </w:rPr>
  </w:style>
  <w:style w:type="paragraph" w:styleId="xl66">
    <w:name w:val="xl66"/>
    <w:basedOn w:val="Normal"/>
    <w:qFormat/>
    <w:pPr>
      <w:pBdr>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65">
    <w:name w:val="xl65"/>
    <w:basedOn w:val="Normal"/>
    <w:qFormat/>
    <w:pPr>
      <w:spacing w:lineRule="exact" w:line="240" w:before="100" w:after="100"/>
      <w:jc w:val="both"/>
      <w:textAlignment w:val="center"/>
    </w:pPr>
    <w:rPr>
      <w:rFonts w:ascii="Arial" w:hAnsi="Arial" w:eastAsia="Calibri" w:cs="Arial"/>
      <w:lang w:eastAsia="pl-PL"/>
    </w:rPr>
  </w:style>
  <w:style w:type="paragraph" w:styleId="xl64">
    <w:name w:val="xl64"/>
    <w:basedOn w:val="Normal"/>
    <w:qFormat/>
    <w:pPr>
      <w:pBdr>
        <w:bottom w:val="single" w:sz="4" w:space="0" w:color="000000"/>
      </w:pBdr>
      <w:spacing w:lineRule="exact" w:line="240" w:before="100" w:after="100"/>
      <w:textAlignment w:val="center"/>
    </w:pPr>
    <w:rPr>
      <w:rFonts w:ascii="Arial" w:hAnsi="Arial" w:eastAsia="Calibri" w:cs="Arial"/>
      <w:color w:val="000000"/>
      <w:lang w:eastAsia="pl-PL"/>
    </w:rPr>
  </w:style>
  <w:style w:type="paragraph" w:styleId="xl63">
    <w:name w:val="xl63"/>
    <w:basedOn w:val="Normal"/>
    <w:qFormat/>
    <w:pPr>
      <w:pBdr>
        <w:top w:val="single" w:sz="4" w:space="0" w:color="000000"/>
        <w:bottom w:val="single" w:sz="4" w:space="0" w:color="000000"/>
      </w:pBdr>
      <w:spacing w:lineRule="exact" w:line="240" w:before="100" w:after="100"/>
      <w:textAlignment w:val="center"/>
    </w:pPr>
    <w:rPr>
      <w:rFonts w:ascii="Arial" w:hAnsi="Arial" w:eastAsia="Calibri" w:cs="Arial"/>
      <w:color w:val="000000"/>
      <w:lang w:eastAsia="pl-PL"/>
    </w:rPr>
  </w:style>
  <w:style w:type="paragraph" w:styleId="xl62">
    <w:name w:val="xl62"/>
    <w:basedOn w:val="Normal"/>
    <w:qFormat/>
    <w:pPr>
      <w:pBdr>
        <w:top w:val="single" w:sz="4" w:space="0" w:color="000000"/>
        <w:bottom w:val="single" w:sz="4" w:space="0" w:color="000000"/>
      </w:pBdr>
      <w:spacing w:lineRule="exact" w:line="240" w:before="100" w:after="100"/>
      <w:textAlignment w:val="center"/>
    </w:pPr>
    <w:rPr>
      <w:rFonts w:ascii="Arial" w:hAnsi="Arial" w:eastAsia="Calibri" w:cs="Arial"/>
      <w:lang w:eastAsia="pl-PL"/>
    </w:rPr>
  </w:style>
  <w:style w:type="paragraph" w:styleId="xl61">
    <w:name w:val="xl61"/>
    <w:basedOn w:val="Normal"/>
    <w:qFormat/>
    <w:pPr>
      <w:pBdr>
        <w:top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60">
    <w:name w:val="xl60"/>
    <w:basedOn w:val="Normal"/>
    <w:qFormat/>
    <w:pPr>
      <w:pBdr>
        <w:top w:val="single" w:sz="4" w:space="0" w:color="000000"/>
        <w:left w:val="single" w:sz="4" w:space="0" w:color="000000"/>
        <w:right w:val="single" w:sz="4" w:space="0" w:color="000000"/>
      </w:pBdr>
      <w:spacing w:lineRule="exact" w:line="240" w:before="100" w:after="100"/>
      <w:jc w:val="right"/>
      <w:textAlignment w:val="center"/>
    </w:pPr>
    <w:rPr>
      <w:rFonts w:ascii="Arial" w:hAnsi="Arial" w:eastAsia="Calibri" w:cs="Arial"/>
      <w:lang w:eastAsia="pl-PL"/>
    </w:rPr>
  </w:style>
  <w:style w:type="paragraph" w:styleId="xl59">
    <w:name w:val="xl59"/>
    <w:basedOn w:val="Normal"/>
    <w:qFormat/>
    <w:pPr>
      <w:spacing w:lineRule="exact" w:line="240" w:before="100" w:after="100"/>
      <w:jc w:val="right"/>
      <w:textAlignment w:val="center"/>
    </w:pPr>
    <w:rPr>
      <w:rFonts w:ascii="Arial" w:hAnsi="Arial" w:eastAsia="Calibri" w:cs="Arial"/>
      <w:b/>
      <w:bCs/>
      <w:lang w:eastAsia="pl-PL"/>
    </w:rPr>
  </w:style>
  <w:style w:type="paragraph" w:styleId="xl58">
    <w:name w:val="xl58"/>
    <w:basedOn w:val="Normal"/>
    <w:qFormat/>
    <w:pPr>
      <w:pBdr>
        <w:top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57">
    <w:name w:val="xl57"/>
    <w:basedOn w:val="Normal"/>
    <w:qFormat/>
    <w:pPr>
      <w:pBdr>
        <w:top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56">
    <w:name w:val="xl56"/>
    <w:basedOn w:val="Normal"/>
    <w:qFormat/>
    <w:pPr>
      <w:pBdr>
        <w:left w:val="single" w:sz="4" w:space="0" w:color="000000"/>
        <w:bottom w:val="single" w:sz="4" w:space="0" w:color="000000"/>
        <w:right w:val="single" w:sz="4" w:space="0" w:color="000000"/>
      </w:pBdr>
      <w:spacing w:lineRule="exact" w:line="240" w:before="100" w:after="100"/>
      <w:jc w:val="right"/>
      <w:textAlignment w:val="center"/>
    </w:pPr>
    <w:rPr>
      <w:rFonts w:ascii="Arial" w:hAnsi="Arial" w:eastAsia="Calibri" w:cs="Arial"/>
      <w:lang w:eastAsia="pl-PL"/>
    </w:rPr>
  </w:style>
  <w:style w:type="paragraph" w:styleId="xl55">
    <w:name w:val="xl55"/>
    <w:basedOn w:val="Normal"/>
    <w:qFormat/>
    <w:pPr>
      <w:pBdr>
        <w:top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54">
    <w:name w:val="xl54"/>
    <w:basedOn w:val="Normal"/>
    <w:qFormat/>
    <w:pPr>
      <w:pBdr>
        <w:bottom w:val="single" w:sz="4" w:space="0" w:color="000000"/>
      </w:pBdr>
      <w:spacing w:lineRule="exact" w:line="240" w:before="100" w:after="100"/>
      <w:jc w:val="right"/>
      <w:textAlignment w:val="center"/>
    </w:pPr>
    <w:rPr>
      <w:rFonts w:ascii="Arial" w:hAnsi="Arial" w:eastAsia="Calibri" w:cs="Arial"/>
      <w:b/>
      <w:bCs/>
      <w:lang w:eastAsia="pl-PL"/>
    </w:rPr>
  </w:style>
  <w:style w:type="paragraph" w:styleId="xl53">
    <w:name w:val="xl53"/>
    <w:basedOn w:val="Normal"/>
    <w:qFormat/>
    <w:pPr>
      <w:pBdr>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52">
    <w:name w:val="xl52"/>
    <w:basedOn w:val="Normal"/>
    <w:qFormat/>
    <w:pPr>
      <w:spacing w:lineRule="exact" w:line="240" w:before="100" w:after="100"/>
      <w:textAlignment w:val="center"/>
    </w:pPr>
    <w:rPr>
      <w:rFonts w:ascii="Arial" w:hAnsi="Arial" w:eastAsia="Calibri" w:cs="Arial"/>
      <w:b/>
      <w:bCs/>
      <w:lang w:eastAsia="pl-PL"/>
    </w:rPr>
  </w:style>
  <w:style w:type="paragraph" w:styleId="xl51">
    <w:name w:val="xl51"/>
    <w:basedOn w:val="Normal"/>
    <w:qFormat/>
    <w:pPr>
      <w:spacing w:lineRule="exact" w:line="240" w:before="100" w:after="100"/>
      <w:textAlignment w:val="center"/>
    </w:pPr>
    <w:rPr>
      <w:rFonts w:ascii="Arial" w:hAnsi="Arial" w:eastAsia="Calibri" w:cs="Arial"/>
      <w:lang w:eastAsia="pl-PL"/>
    </w:rPr>
  </w:style>
  <w:style w:type="paragraph" w:styleId="xl50">
    <w:name w:val="xl50"/>
    <w:basedOn w:val="Normal"/>
    <w:qFormat/>
    <w:pPr>
      <w:spacing w:lineRule="exact" w:line="240" w:before="100" w:after="100"/>
      <w:jc w:val="right"/>
      <w:textAlignment w:val="center"/>
    </w:pPr>
    <w:rPr>
      <w:rFonts w:ascii="Arial" w:hAnsi="Arial" w:eastAsia="Calibri" w:cs="Arial"/>
      <w:lang w:eastAsia="pl-PL"/>
    </w:rPr>
  </w:style>
  <w:style w:type="paragraph" w:styleId="xl49">
    <w:name w:val="xl49"/>
    <w:basedOn w:val="Normal"/>
    <w:qFormat/>
    <w:pPr>
      <w:pBdr>
        <w:top w:val="single" w:sz="4" w:space="0" w:color="000000"/>
        <w:left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48">
    <w:name w:val="xl48"/>
    <w:basedOn w:val="Normal"/>
    <w:qFormat/>
    <w:pPr>
      <w:pBdr>
        <w:top w:val="single" w:sz="4" w:space="0" w:color="000000"/>
        <w:left w:val="single" w:sz="4" w:space="0" w:color="000000"/>
        <w:bottom w:val="single" w:sz="4" w:space="0" w:color="000000"/>
        <w:right w:val="single" w:sz="4" w:space="0" w:color="000000"/>
      </w:pBdr>
      <w:spacing w:lineRule="exact" w:line="240" w:before="100" w:after="100"/>
      <w:jc w:val="right"/>
      <w:textAlignment w:val="center"/>
    </w:pPr>
    <w:rPr>
      <w:rFonts w:ascii="Arial" w:hAnsi="Arial" w:eastAsia="Calibri" w:cs="Arial"/>
      <w:lang w:eastAsia="pl-PL"/>
    </w:rPr>
  </w:style>
  <w:style w:type="paragraph" w:styleId="xl47">
    <w:name w:val="xl47"/>
    <w:basedOn w:val="Normal"/>
    <w:qFormat/>
    <w:pPr>
      <w:pBdr>
        <w:top w:val="single" w:sz="4" w:space="0" w:color="000000"/>
        <w:left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46">
    <w:name w:val="xl46"/>
    <w:basedOn w:val="Normal"/>
    <w:qFormat/>
    <w:pPr>
      <w:pBdr>
        <w:top w:val="single" w:sz="4" w:space="0" w:color="000000"/>
        <w:left w:val="single" w:sz="4" w:space="0" w:color="000000"/>
        <w:bottom w:val="single" w:sz="4" w:space="0" w:color="000000"/>
        <w:right w:val="single" w:sz="4" w:space="0" w:color="000000"/>
      </w:pBdr>
      <w:spacing w:lineRule="exact" w:line="240" w:before="100" w:after="100"/>
      <w:jc w:val="right"/>
      <w:textAlignment w:val="center"/>
    </w:pPr>
    <w:rPr>
      <w:rFonts w:ascii="Arial" w:hAnsi="Arial" w:eastAsia="Calibri" w:cs="Arial"/>
      <w:lang w:eastAsia="pl-PL"/>
    </w:rPr>
  </w:style>
  <w:style w:type="paragraph" w:styleId="xl45">
    <w:name w:val="xl45"/>
    <w:basedOn w:val="Normal"/>
    <w:qFormat/>
    <w:pPr>
      <w:pBdr>
        <w:top w:val="single" w:sz="4" w:space="0" w:color="000000"/>
        <w:left w:val="single" w:sz="4" w:space="0" w:color="000000"/>
        <w:bottom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44">
    <w:name w:val="xl44"/>
    <w:basedOn w:val="Normal"/>
    <w:qFormat/>
    <w:pPr>
      <w:pBdr>
        <w:left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43">
    <w:name w:val="xl43"/>
    <w:basedOn w:val="Normal"/>
    <w:qFormat/>
    <w:pPr>
      <w:pBdr>
        <w:left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42">
    <w:name w:val="xl42"/>
    <w:basedOn w:val="Normal"/>
    <w:qFormat/>
    <w:pPr>
      <w:pBdr>
        <w:top w:val="single" w:sz="4" w:space="0" w:color="000000"/>
        <w:bottom w:val="single" w:sz="4" w:space="0" w:color="000000"/>
      </w:pBdr>
      <w:spacing w:lineRule="exact" w:line="240" w:before="100" w:after="100"/>
      <w:textAlignment w:val="center"/>
    </w:pPr>
    <w:rPr>
      <w:rFonts w:ascii="Arial" w:hAnsi="Arial" w:eastAsia="Calibri" w:cs="Arial"/>
      <w:lang w:eastAsia="pl-PL"/>
    </w:rPr>
  </w:style>
  <w:style w:type="paragraph" w:styleId="xl41">
    <w:name w:val="xl41"/>
    <w:basedOn w:val="Normal"/>
    <w:qFormat/>
    <w:pPr>
      <w:pBdr>
        <w:top w:val="single" w:sz="4" w:space="0" w:color="000000"/>
        <w:left w:val="single" w:sz="4" w:space="0" w:color="000000"/>
        <w:bottom w:val="single" w:sz="4" w:space="0" w:color="000000"/>
      </w:pBdr>
      <w:spacing w:lineRule="exact" w:line="240" w:before="100" w:after="100"/>
      <w:textAlignment w:val="center"/>
    </w:pPr>
    <w:rPr>
      <w:rFonts w:ascii="Arial" w:hAnsi="Arial" w:eastAsia="Calibri" w:cs="Arial"/>
      <w:lang w:eastAsia="pl-PL"/>
    </w:rPr>
  </w:style>
  <w:style w:type="paragraph" w:styleId="xl40">
    <w:name w:val="xl40"/>
    <w:basedOn w:val="Normal"/>
    <w:qFormat/>
    <w:pPr>
      <w:pBdr>
        <w:top w:val="single" w:sz="4" w:space="0" w:color="000000"/>
        <w:left w:val="single" w:sz="4" w:space="0" w:color="000000"/>
        <w:right w:val="single" w:sz="4" w:space="0" w:color="000000"/>
      </w:pBdr>
      <w:spacing w:lineRule="exact" w:line="240" w:before="100" w:after="100"/>
      <w:textAlignment w:val="center"/>
    </w:pPr>
    <w:rPr>
      <w:rFonts w:ascii="Arial" w:hAnsi="Arial" w:eastAsia="Calibri" w:cs="Arial"/>
      <w:lang w:eastAsia="pl-PL"/>
    </w:rPr>
  </w:style>
  <w:style w:type="paragraph" w:styleId="xl38">
    <w:name w:val="xl38"/>
    <w:basedOn w:val="Normal"/>
    <w:qFormat/>
    <w:pPr>
      <w:pBdr>
        <w:top w:val="single" w:sz="4" w:space="0" w:color="000000"/>
        <w:bottom w:val="single" w:sz="4" w:space="0" w:color="000000"/>
      </w:pBdr>
      <w:spacing w:lineRule="exact" w:line="240" w:before="100" w:after="100"/>
      <w:jc w:val="center"/>
      <w:textAlignment w:val="center"/>
    </w:pPr>
    <w:rPr>
      <w:rFonts w:ascii="Arial" w:hAnsi="Arial" w:eastAsia="Calibri" w:cs="Arial"/>
      <w:lang w:eastAsia="pl-PL"/>
    </w:rPr>
  </w:style>
  <w:style w:type="paragraph" w:styleId="xl37">
    <w:name w:val="xl37"/>
    <w:basedOn w:val="Normal"/>
    <w:qFormat/>
    <w:pPr>
      <w:pBdr>
        <w:top w:val="single" w:sz="4" w:space="0" w:color="000000"/>
        <w:left w:val="single" w:sz="4" w:space="0" w:color="000000"/>
        <w:bottom w:val="single" w:sz="4" w:space="0" w:color="000000"/>
      </w:pBdr>
      <w:spacing w:lineRule="exact" w:line="240" w:before="100" w:after="100"/>
      <w:jc w:val="right"/>
      <w:textAlignment w:val="center"/>
    </w:pPr>
    <w:rPr>
      <w:rFonts w:ascii="Arial" w:hAnsi="Arial" w:eastAsia="Calibri" w:cs="Arial"/>
      <w:lang w:eastAsia="pl-PL"/>
    </w:rPr>
  </w:style>
  <w:style w:type="paragraph" w:styleId="xl36">
    <w:name w:val="xl36"/>
    <w:basedOn w:val="Normal"/>
    <w:qFormat/>
    <w:pPr>
      <w:pBdr>
        <w:top w:val="single" w:sz="4" w:space="0" w:color="000000"/>
        <w:left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35">
    <w:name w:val="xl35"/>
    <w:basedOn w:val="Normal"/>
    <w:qFormat/>
    <w:pPr>
      <w:pBdr>
        <w:top w:val="single" w:sz="4" w:space="0" w:color="000000"/>
        <w:left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34">
    <w:name w:val="xl34"/>
    <w:basedOn w:val="Normal"/>
    <w:qFormat/>
    <w:pPr>
      <w:pBdr>
        <w:top w:val="single" w:sz="4" w:space="0" w:color="000000"/>
        <w:left w:val="single" w:sz="4" w:space="0" w:color="000000"/>
      </w:pBdr>
      <w:spacing w:lineRule="exact" w:line="240" w:before="100" w:after="100"/>
      <w:jc w:val="right"/>
      <w:textAlignment w:val="center"/>
    </w:pPr>
    <w:rPr>
      <w:rFonts w:ascii="Arial" w:hAnsi="Arial" w:eastAsia="Calibri" w:cs="Arial"/>
      <w:lang w:eastAsia="pl-PL"/>
    </w:rPr>
  </w:style>
  <w:style w:type="paragraph" w:styleId="xl33">
    <w:name w:val="xl33"/>
    <w:basedOn w:val="Normal"/>
    <w:qFormat/>
    <w:pPr>
      <w:pBdr>
        <w:left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32">
    <w:name w:val="xl32"/>
    <w:basedOn w:val="Normal"/>
    <w:qFormat/>
    <w:pPr>
      <w:pBdr>
        <w:left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31">
    <w:name w:val="xl31"/>
    <w:basedOn w:val="Normal"/>
    <w:qFormat/>
    <w:pPr>
      <w:pBdr>
        <w:left w:val="single" w:sz="4" w:space="0" w:color="000000"/>
        <w:bottom w:val="single" w:sz="4" w:space="0" w:color="000000"/>
        <w:right w:val="single" w:sz="4" w:space="0" w:color="000000"/>
      </w:pBdr>
      <w:spacing w:lineRule="exact" w:line="240" w:before="100" w:after="100"/>
      <w:jc w:val="right"/>
      <w:textAlignment w:val="center"/>
    </w:pPr>
    <w:rPr>
      <w:rFonts w:ascii="Arial" w:hAnsi="Arial" w:eastAsia="Calibri" w:cs="Arial"/>
      <w:lang w:eastAsia="pl-PL"/>
    </w:rPr>
  </w:style>
  <w:style w:type="paragraph" w:styleId="xl30">
    <w:name w:val="xl30"/>
    <w:basedOn w:val="Normal"/>
    <w:qFormat/>
    <w:pPr>
      <w:pBdr>
        <w:top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29">
    <w:name w:val="xl29"/>
    <w:basedOn w:val="Normal"/>
    <w:qFormat/>
    <w:pPr>
      <w:pBdr>
        <w:top w:val="single" w:sz="4" w:space="0" w:color="000000"/>
        <w:bottom w:val="single" w:sz="4" w:space="0" w:color="000000"/>
      </w:pBdr>
      <w:spacing w:lineRule="exact" w:line="240" w:before="100" w:after="100"/>
      <w:textAlignment w:val="center"/>
    </w:pPr>
    <w:rPr>
      <w:rFonts w:ascii="Arial" w:hAnsi="Arial" w:eastAsia="Calibri" w:cs="Arial"/>
      <w:lang w:eastAsia="pl-PL"/>
    </w:rPr>
  </w:style>
  <w:style w:type="paragraph" w:styleId="xl28">
    <w:name w:val="xl28"/>
    <w:basedOn w:val="Normal"/>
    <w:qFormat/>
    <w:pPr>
      <w:pBdr>
        <w:top w:val="single" w:sz="4" w:space="0" w:color="000000"/>
        <w:left w:val="single" w:sz="4" w:space="0" w:color="000000"/>
        <w:bottom w:val="single" w:sz="4" w:space="0" w:color="000000"/>
      </w:pBdr>
      <w:spacing w:lineRule="exact" w:line="240" w:before="100" w:after="100"/>
      <w:jc w:val="center"/>
      <w:textAlignment w:val="center"/>
    </w:pPr>
    <w:rPr>
      <w:rFonts w:ascii="Arial" w:hAnsi="Arial" w:eastAsia="Calibri" w:cs="Arial"/>
      <w:lang w:eastAsia="pl-PL"/>
    </w:rPr>
  </w:style>
  <w:style w:type="paragraph" w:styleId="xl27">
    <w:name w:val="xl27"/>
    <w:basedOn w:val="Normal"/>
    <w:qFormat/>
    <w:pPr>
      <w:pBdr>
        <w:top w:val="single" w:sz="4" w:space="0" w:color="000000"/>
        <w:left w:val="single" w:sz="4" w:space="0" w:color="000000"/>
        <w:bottom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26">
    <w:name w:val="xl26"/>
    <w:basedOn w:val="Normal"/>
    <w:qFormat/>
    <w:pPr>
      <w:pBdr>
        <w:top w:val="single" w:sz="4" w:space="0" w:color="000000"/>
        <w:left w:val="single" w:sz="4" w:space="0" w:color="000000"/>
        <w:right w:val="single" w:sz="4" w:space="0" w:color="000000"/>
      </w:pBdr>
      <w:spacing w:lineRule="exact" w:line="240" w:before="100" w:after="100"/>
      <w:jc w:val="center"/>
      <w:textAlignment w:val="center"/>
    </w:pPr>
    <w:rPr>
      <w:rFonts w:ascii="Arial" w:hAnsi="Arial" w:eastAsia="Calibri" w:cs="Arial"/>
      <w:lang w:eastAsia="pl-PL"/>
    </w:rPr>
  </w:style>
  <w:style w:type="paragraph" w:styleId="xl25">
    <w:name w:val="xl25"/>
    <w:basedOn w:val="Normal"/>
    <w:qFormat/>
    <w:pPr>
      <w:spacing w:lineRule="exact" w:line="240" w:before="100" w:after="100"/>
      <w:jc w:val="center"/>
      <w:textAlignment w:val="center"/>
    </w:pPr>
    <w:rPr>
      <w:rFonts w:ascii="Arial" w:hAnsi="Arial" w:eastAsia="Calibri" w:cs="Arial"/>
      <w:lang w:eastAsia="pl-PL"/>
    </w:rPr>
  </w:style>
  <w:style w:type="paragraph" w:styleId="xl24">
    <w:name w:val="xl24"/>
    <w:basedOn w:val="Normal"/>
    <w:qFormat/>
    <w:pPr>
      <w:spacing w:lineRule="exact" w:line="240" w:before="100" w:after="100"/>
      <w:textAlignment w:val="center"/>
    </w:pPr>
    <w:rPr>
      <w:rFonts w:ascii="Arial" w:hAnsi="Arial" w:eastAsia="Calibri" w:cs="Arial"/>
      <w:lang w:eastAsia="pl-PL"/>
    </w:rPr>
  </w:style>
  <w:style w:type="paragraph" w:styleId="font7">
    <w:name w:val="font7"/>
    <w:basedOn w:val="Normal"/>
    <w:qFormat/>
    <w:pPr>
      <w:spacing w:lineRule="exact" w:line="240" w:before="100" w:after="100"/>
    </w:pPr>
    <w:rPr>
      <w:rFonts w:ascii="Arial" w:hAnsi="Arial" w:eastAsia="Calibri" w:cs="Arial"/>
      <w:sz w:val="20"/>
      <w:szCs w:val="20"/>
      <w:lang w:eastAsia="pl-PL"/>
    </w:rPr>
  </w:style>
  <w:style w:type="paragraph" w:styleId="font6">
    <w:name w:val="font6"/>
    <w:basedOn w:val="Normal"/>
    <w:qFormat/>
    <w:pPr>
      <w:spacing w:lineRule="exact" w:line="240" w:before="100" w:after="100"/>
    </w:pPr>
    <w:rPr>
      <w:rFonts w:ascii="Arial" w:hAnsi="Arial" w:eastAsia="Calibri" w:cs="Arial"/>
      <w:b/>
      <w:bCs/>
      <w:sz w:val="20"/>
      <w:szCs w:val="20"/>
      <w:lang w:eastAsia="pl-PL"/>
    </w:rPr>
  </w:style>
  <w:style w:type="paragraph" w:styleId="font5">
    <w:name w:val="font5"/>
    <w:basedOn w:val="Normal"/>
    <w:qFormat/>
    <w:pPr>
      <w:spacing w:lineRule="exact" w:line="240" w:before="100" w:after="100"/>
    </w:pPr>
    <w:rPr>
      <w:rFonts w:ascii="Arial" w:hAnsi="Arial" w:eastAsia="Calibri" w:cs="Arial"/>
      <w:sz w:val="20"/>
      <w:szCs w:val="20"/>
      <w:lang w:eastAsia="pl-PL"/>
    </w:rPr>
  </w:style>
  <w:style w:type="paragraph" w:styleId="Nagwektabeli">
    <w:name w:val="Nag?ówek tabeli"/>
    <w:basedOn w:val="Normal"/>
    <w:qFormat/>
    <w:pPr>
      <w:widowControl w:val="false"/>
      <w:spacing w:lineRule="exact" w:line="240" w:before="0" w:after="120"/>
      <w:jc w:val="center"/>
    </w:pPr>
    <w:rPr>
      <w:rFonts w:ascii="Times New Roman" w:hAnsi="Times New Roman" w:eastAsia="Times New Roman" w:cs="Times New Roman"/>
      <w:b/>
      <w:i/>
      <w:color w:val="000000"/>
      <w:szCs w:val="20"/>
      <w:lang w:eastAsia="pl-PL"/>
    </w:rPr>
  </w:style>
  <w:style w:type="paragraph" w:styleId="LISTA">
    <w:name w:val="LISTA"/>
    <w:basedOn w:val="Normal"/>
    <w:qFormat/>
    <w:pPr>
      <w:spacing w:lineRule="exact" w:line="240" w:before="0" w:after="0"/>
    </w:pPr>
    <w:rPr>
      <w:rFonts w:ascii="Arial" w:hAnsi="Arial" w:eastAsia="Times New Roman" w:cs="Times New Roman"/>
      <w:color w:val="000000"/>
      <w:sz w:val="16"/>
      <w:szCs w:val="20"/>
      <w:lang w:eastAsia="pl-PL"/>
    </w:rPr>
  </w:style>
  <w:style w:type="paragraph" w:styleId="TableParagraph">
    <w:name w:val="Table Paragraph"/>
    <w:basedOn w:val="Normal"/>
    <w:qFormat/>
    <w:pPr>
      <w:widowControl w:val="false"/>
      <w:spacing w:lineRule="exact" w:line="240" w:before="0" w:after="0"/>
    </w:pPr>
    <w:rPr>
      <w:rFonts w:ascii="Calibri" w:hAnsi="Calibri" w:eastAsia="Calibri" w:cs="Times New Roman"/>
      <w:lang w:val="en-US" w:eastAsia="ar-SA"/>
    </w:rPr>
  </w:style>
  <w:style w:type="paragraph" w:styleId="Podpis1">
    <w:name w:val="Podpis1"/>
    <w:basedOn w:val="Normal"/>
    <w:qFormat/>
    <w:pPr>
      <w:spacing w:lineRule="exact" w:line="240" w:before="120" w:after="120"/>
    </w:pPr>
    <w:rPr>
      <w:rFonts w:ascii="Times New Roman" w:hAnsi="Times New Roman" w:eastAsia="Times New Roman" w:cs="Mangal"/>
      <w:i/>
      <w:iCs/>
      <w:lang w:eastAsia="ar-SA"/>
    </w:rPr>
  </w:style>
  <w:style w:type="paragraph" w:styleId="Nagwek1">
    <w:name w:val="Nagłówek1"/>
    <w:basedOn w:val="Normal"/>
    <w:qFormat/>
    <w:pPr>
      <w:keepNext w:val="true"/>
      <w:spacing w:lineRule="exact" w:line="240" w:before="240" w:after="120"/>
    </w:pPr>
    <w:rPr>
      <w:rFonts w:ascii="Arial" w:hAnsi="Arial" w:eastAsia="Microsoft YaHei" w:cs="Mangal"/>
      <w:sz w:val="28"/>
      <w:szCs w:val="28"/>
      <w:lang w:eastAsia="ar-SA"/>
    </w:rPr>
  </w:style>
  <w:style w:type="paragraph" w:styleId="Podpis2">
    <w:name w:val="Podpis2"/>
    <w:basedOn w:val="Normal"/>
    <w:qFormat/>
    <w:pPr>
      <w:spacing w:lineRule="exact" w:line="240" w:before="120" w:after="120"/>
    </w:pPr>
    <w:rPr>
      <w:rFonts w:ascii="Times New Roman" w:hAnsi="Times New Roman" w:eastAsia="Times New Roman" w:cs="Mangal"/>
      <w:i/>
      <w:iCs/>
      <w:lang w:eastAsia="ar-SA"/>
    </w:rPr>
  </w:style>
  <w:style w:type="paragraph" w:styleId="Nagwek2">
    <w:name w:val="Nagłówek2"/>
    <w:basedOn w:val="Normal"/>
    <w:qFormat/>
    <w:pPr>
      <w:keepNext w:val="true"/>
      <w:spacing w:lineRule="exact" w:line="240" w:before="240" w:after="120"/>
    </w:pPr>
    <w:rPr>
      <w:rFonts w:ascii="Arial" w:hAnsi="Arial" w:eastAsia="Microsoft YaHei" w:cs="Mangal"/>
      <w:sz w:val="28"/>
      <w:szCs w:val="28"/>
      <w:lang w:eastAsia="ar-SA"/>
    </w:rPr>
  </w:style>
  <w:style w:type="paragraph" w:styleId="Podpis3">
    <w:name w:val="Podpis3"/>
    <w:basedOn w:val="Normal"/>
    <w:qFormat/>
    <w:pPr>
      <w:spacing w:lineRule="exact" w:line="240" w:before="120" w:after="120"/>
    </w:pPr>
    <w:rPr>
      <w:rFonts w:ascii="Times New Roman" w:hAnsi="Times New Roman" w:eastAsia="Times New Roman" w:cs="Mangal"/>
      <w:i/>
      <w:iCs/>
      <w:lang w:eastAsia="ar-SA"/>
    </w:rPr>
  </w:style>
  <w:style w:type="paragraph" w:styleId="Nagwek3">
    <w:name w:val="Nagłówek3"/>
    <w:basedOn w:val="Normal"/>
    <w:qFormat/>
    <w:pPr>
      <w:keepNext w:val="true"/>
      <w:spacing w:lineRule="exact" w:line="240" w:before="240" w:after="120"/>
    </w:pPr>
    <w:rPr>
      <w:rFonts w:ascii="Arial" w:hAnsi="Arial" w:eastAsia="Microsoft YaHei" w:cs="Mangal"/>
      <w:sz w:val="28"/>
      <w:szCs w:val="28"/>
      <w:lang w:eastAsia="ar-SA"/>
    </w:rPr>
  </w:style>
  <w:style w:type="paragraph" w:styleId="Legenda1">
    <w:name w:val="Legenda1"/>
    <w:basedOn w:val="Normal"/>
    <w:qFormat/>
    <w:pPr>
      <w:spacing w:lineRule="exact" w:line="240" w:before="120" w:after="120"/>
    </w:pPr>
    <w:rPr>
      <w:rFonts w:ascii="Times New Roman" w:hAnsi="Times New Roman" w:eastAsia="Times New Roman" w:cs="Times New Roman"/>
      <w:i/>
      <w:iCs/>
      <w:lang w:eastAsia="ar-SA"/>
    </w:rPr>
  </w:style>
  <w:style w:type="paragraph" w:styleId="Nagwek4">
    <w:name w:val="Nagłówek4"/>
    <w:basedOn w:val="Normal"/>
    <w:qFormat/>
    <w:pPr>
      <w:keepNext w:val="true"/>
      <w:spacing w:lineRule="exact" w:line="240" w:before="240" w:after="120"/>
    </w:pPr>
    <w:rPr>
      <w:rFonts w:ascii="Liberation Sans;Arial" w:hAnsi="Liberation Sans;Arial" w:eastAsia="Microsoft YaHei" w:cs="Liberation Sans;Arial"/>
      <w:sz w:val="28"/>
      <w:szCs w:val="28"/>
      <w:lang w:eastAsia="ar-SA"/>
    </w:rPr>
  </w:style>
  <w:style w:type="paragraph" w:styleId="Podpis4">
    <w:name w:val="Podpis4"/>
    <w:basedOn w:val="Normal"/>
    <w:qFormat/>
    <w:pPr>
      <w:spacing w:lineRule="exact" w:line="240" w:before="120" w:after="120"/>
    </w:pPr>
    <w:rPr>
      <w:rFonts w:ascii="Times New Roman" w:hAnsi="Times New Roman" w:eastAsia="Times New Roman" w:cs="Mangal"/>
      <w:i/>
      <w:iCs/>
      <w:lang w:eastAsia="ar-SA"/>
    </w:rPr>
  </w:style>
  <w:style w:type="paragraph" w:styleId="Nagwek5">
    <w:name w:val="Nagłówek5"/>
    <w:basedOn w:val="Normal"/>
    <w:qFormat/>
    <w:pPr>
      <w:keepNext w:val="true"/>
      <w:spacing w:lineRule="exact" w:line="240" w:before="240" w:after="120"/>
    </w:pPr>
    <w:rPr>
      <w:rFonts w:ascii="Arial" w:hAnsi="Arial" w:eastAsia="Microsoft YaHei" w:cs="Mangal"/>
      <w:sz w:val="28"/>
      <w:szCs w:val="28"/>
      <w:lang w:eastAsia="ar-SA"/>
    </w:rPr>
  </w:style>
  <w:style w:type="paragraph" w:styleId="text-justify1">
    <w:name w:val="text-justify1"/>
    <w:basedOn w:val="Normal"/>
    <w:qFormat/>
    <w:pPr>
      <w:spacing w:lineRule="exact" w:line="240" w:before="100" w:after="100"/>
    </w:pPr>
    <w:rPr>
      <w:rFonts w:ascii="Times New Roman" w:hAnsi="Times New Roman" w:eastAsia="Times New Roman" w:cs="Times New Roman"/>
      <w:lang w:eastAsia="pl-PL" w:bidi="ne-IN"/>
    </w:rPr>
  </w:style>
  <w:style w:type="paragraph" w:styleId="Texte1xx">
    <w:name w:val="Texte 1.xx"/>
    <w:basedOn w:val="Normal"/>
    <w:qFormat/>
    <w:pPr>
      <w:spacing w:lineRule="exact" w:line="240" w:before="120" w:after="120"/>
      <w:ind w:firstLine="1" w:left="1418" w:right="0"/>
      <w:jc w:val="both"/>
    </w:pPr>
    <w:rPr>
      <w:rFonts w:ascii="Arial" w:hAnsi="Arial" w:eastAsia="Times New Roman" w:cs="Times New Roman"/>
      <w:szCs w:val="20"/>
      <w:lang w:eastAsia="ar-SA"/>
    </w:rPr>
  </w:style>
  <w:style w:type="paragraph" w:styleId="Tekstpodstawowy31">
    <w:name w:val="Tekst podstawowy 31"/>
    <w:basedOn w:val="Normal"/>
    <w:qFormat/>
    <w:pPr>
      <w:spacing w:lineRule="exact" w:line="240" w:before="0" w:after="0"/>
      <w:jc w:val="both"/>
    </w:pPr>
    <w:rPr>
      <w:rFonts w:ascii="Times New Roman" w:hAnsi="Times New Roman" w:eastAsia="Times New Roman" w:cs="Times New Roman"/>
      <w:b/>
      <w:sz w:val="28"/>
      <w:szCs w:val="20"/>
      <w:lang w:eastAsia="ar-SA"/>
    </w:rPr>
  </w:style>
  <w:style w:type="paragraph" w:styleId="divpoint">
    <w:name w:val="div.point"/>
    <w:qFormat/>
    <w:pPr>
      <w:widowControl w:val="false"/>
      <w:suppressAutoHyphens w:val="true"/>
      <w:bidi w:val="0"/>
      <w:spacing w:lineRule="atLeast" w:line="40" w:before="0" w:after="0"/>
      <w:jc w:val="left"/>
    </w:pPr>
    <w:rPr>
      <w:rFonts w:ascii="Helvetica;Arial" w:hAnsi="Helvetica;Arial" w:eastAsia="Times New Roman" w:cs="Helvetica;Arial"/>
      <w:color w:val="000000"/>
      <w:kern w:val="2"/>
      <w:sz w:val="18"/>
      <w:szCs w:val="18"/>
      <w:lang w:val="pl-PL" w:eastAsia="pl-PL" w:bidi="hi-IN"/>
    </w:rPr>
  </w:style>
  <w:style w:type="paragraph" w:styleId="ZnakZnakZnakZnakZnakZnakZnakZnak">
    <w:name w:val="Znak Znak Znak Znak Znak Znak Znak Znak"/>
    <w:basedOn w:val="Normal"/>
    <w:qFormat/>
    <w:pPr>
      <w:spacing w:lineRule="exact" w:line="240" w:before="0" w:after="0"/>
    </w:pPr>
    <w:rPr>
      <w:rFonts w:ascii="Times New Roman" w:hAnsi="Times New Roman" w:eastAsia="Times New Roman" w:cs="Times New Roman"/>
      <w:lang w:eastAsia="pl-PL"/>
    </w:rPr>
  </w:style>
  <w:style w:type="paragraph" w:styleId="Zwykytekst1">
    <w:name w:val="Zwykły tekst1"/>
    <w:basedOn w:val="Normal"/>
    <w:qFormat/>
    <w:pPr>
      <w:spacing w:lineRule="exact" w:line="240" w:before="0" w:after="0"/>
    </w:pPr>
    <w:rPr>
      <w:rFonts w:ascii="Courier New" w:hAnsi="Courier New" w:eastAsia="Times New Roman" w:cs="Times New Roman"/>
      <w:sz w:val="20"/>
      <w:szCs w:val="20"/>
      <w:lang w:eastAsia="pl-PL"/>
    </w:rPr>
  </w:style>
  <w:style w:type="paragraph" w:styleId="ZnakZnak1ZnakZnakZnakZnak">
    <w:name w:val="Znak Znak1 Znak Znak Znak Znak"/>
    <w:basedOn w:val="Normal"/>
    <w:qFormat/>
    <w:pPr>
      <w:spacing w:lineRule="exact" w:line="240" w:before="0" w:after="0"/>
    </w:pPr>
    <w:rPr>
      <w:rFonts w:ascii="Arial" w:hAnsi="Arial" w:eastAsia="Times New Roman" w:cs="Arial"/>
      <w:lang w:eastAsia="pl-PL"/>
    </w:rPr>
  </w:style>
  <w:style w:type="paragraph" w:styleId="Normalny1">
    <w:name w:val="Normalny1"/>
    <w:basedOn w:val="Normal"/>
    <w:qFormat/>
    <w:pPr>
      <w:widowControl w:val="false"/>
      <w:spacing w:lineRule="exact" w:line="240" w:before="0" w:after="0"/>
    </w:pPr>
    <w:rPr>
      <w:rFonts w:ascii="Times New Roman" w:hAnsi="Times New Roman" w:eastAsia="Lucida Sans Unicode" w:cs="Times New Roman"/>
      <w:lang w:eastAsia="pl-PL"/>
    </w:rPr>
  </w:style>
  <w:style w:type="paragraph" w:styleId="Tekstpodstawowy21">
    <w:name w:val="Tekst podstawowy 21"/>
    <w:basedOn w:val="Normal"/>
    <w:qFormat/>
    <w:pPr>
      <w:spacing w:lineRule="exact" w:line="240" w:before="0" w:after="0"/>
    </w:pPr>
    <w:rPr>
      <w:rFonts w:ascii="Times New Roman" w:hAnsi="Times New Roman" w:eastAsia="Times New Roman" w:cs="Times New Roman"/>
      <w:b/>
      <w:szCs w:val="20"/>
      <w:lang w:eastAsia="pl-PL"/>
    </w:rPr>
  </w:style>
  <w:style w:type="paragraph" w:styleId="xl39">
    <w:name w:val="xl39"/>
    <w:basedOn w:val="Normal"/>
    <w:qFormat/>
    <w:pPr>
      <w:pBdr>
        <w:right w:val="single" w:sz="4" w:space="0" w:color="000000"/>
      </w:pBdr>
      <w:spacing w:lineRule="exact" w:line="240" w:before="100" w:after="100"/>
    </w:pPr>
    <w:rPr>
      <w:rFonts w:ascii="Arial" w:hAnsi="Arial" w:eastAsia="Arial Unicode MS" w:cs="Arial"/>
      <w:lang w:eastAsia="pl-PL"/>
    </w:rPr>
  </w:style>
  <w:style w:type="paragraph" w:styleId="ZnakZnakZnakZnak">
    <w:name w:val="Znak Znak Znak Znak"/>
    <w:basedOn w:val="Normal"/>
    <w:qFormat/>
    <w:pPr>
      <w:spacing w:lineRule="exact" w:line="240" w:before="0" w:after="0"/>
    </w:pPr>
    <w:rPr>
      <w:rFonts w:ascii="Times New Roman" w:hAnsi="Times New Roman" w:eastAsia="Times New Roman" w:cs="Times New Roman"/>
      <w:lang w:eastAsia="pl-PL"/>
    </w:rPr>
  </w:style>
  <w:style w:type="paragraph" w:styleId="WW-Tekstpodstawowywcity2">
    <w:name w:val="WW-Tekst podstawowy wcięty 2"/>
    <w:basedOn w:val="Normal"/>
    <w:qFormat/>
    <w:pPr>
      <w:spacing w:lineRule="exact" w:line="240" w:before="0" w:after="0"/>
      <w:ind w:firstLine="1" w:left="284" w:right="0"/>
      <w:jc w:val="both"/>
    </w:pPr>
    <w:rPr>
      <w:rFonts w:ascii="Arial Narrow" w:hAnsi="Arial Narrow" w:eastAsia="Times New Roman" w:cs="Times New Roman"/>
      <w:szCs w:val="20"/>
      <w:lang w:eastAsia="pl-PL"/>
    </w:rPr>
  </w:style>
  <w:style w:type="paragraph" w:styleId="t">
    <w:name w:val="t"/>
    <w:basedOn w:val="Normal"/>
    <w:qFormat/>
    <w:pPr>
      <w:spacing w:lineRule="exact" w:line="240" w:before="100" w:after="100"/>
      <w:ind w:hanging="0" w:left="0" w:right="170"/>
      <w:jc w:val="both"/>
    </w:pPr>
    <w:rPr>
      <w:rFonts w:ascii="Times New Roman" w:hAnsi="Times New Roman" w:eastAsia="Times New Roman" w:cs="Times New Roman"/>
      <w:b/>
      <w:color w:val="000000"/>
      <w:szCs w:val="16"/>
      <w:lang w:eastAsia="pl-PL"/>
    </w:rPr>
  </w:style>
  <w:style w:type="paragraph" w:styleId="Wypunktowanie">
    <w:name w:val="Wypunktowanie"/>
    <w:basedOn w:val="Normal"/>
    <w:qFormat/>
    <w:pPr>
      <w:tabs>
        <w:tab w:val="clear" w:pos="708"/>
        <w:tab w:val="left" w:pos="360" w:leader="none"/>
      </w:tabs>
      <w:spacing w:lineRule="exact" w:line="240" w:before="0" w:after="0"/>
      <w:ind w:hanging="360" w:left="360" w:right="0"/>
    </w:pPr>
    <w:rPr>
      <w:rFonts w:ascii="Times New Roman" w:hAnsi="Times New Roman" w:eastAsia="Times New Roman" w:cs="Times New Roman"/>
      <w:szCs w:val="20"/>
      <w:lang w:eastAsia="pl-PL"/>
    </w:rPr>
  </w:style>
  <w:style w:type="paragraph" w:styleId="Rozdzia1">
    <w:name w:val="Rozdział1"/>
    <w:basedOn w:val="Normal"/>
    <w:qFormat/>
    <w:pPr>
      <w:spacing w:lineRule="exact" w:line="240" w:before="0" w:after="0"/>
      <w:ind w:hanging="284" w:left="284" w:right="0"/>
    </w:pPr>
    <w:rPr>
      <w:rFonts w:ascii="Times New Roman" w:hAnsi="Times New Roman" w:eastAsia="Times New Roman" w:cs="Times New Roman"/>
      <w:b/>
      <w:sz w:val="28"/>
      <w:szCs w:val="20"/>
      <w:u w:val="single"/>
      <w:lang w:eastAsia="pl-PL"/>
    </w:rPr>
  </w:style>
  <w:style w:type="paragraph" w:styleId="NoSpacing">
    <w:name w:val="No Spacing"/>
    <w:qFormat/>
    <w:pPr>
      <w:widowControl/>
      <w:suppressAutoHyphens w:val="true"/>
      <w:bidi w:val="0"/>
      <w:spacing w:lineRule="auto" w:line="240" w:before="0" w:after="0"/>
      <w:jc w:val="left"/>
    </w:pPr>
    <w:rPr>
      <w:rFonts w:ascii="Calibri" w:hAnsi="Calibri" w:eastAsia="0" w:cs="Calibri"/>
      <w:color w:val="auto"/>
      <w:kern w:val="2"/>
      <w:sz w:val="24"/>
      <w:szCs w:val="24"/>
      <w:lang w:val="pl-PL" w:eastAsia="zh-CN" w:bidi="hi-IN"/>
    </w:rPr>
  </w:style>
  <w:style w:type="paragraph" w:styleId="BalloonText">
    <w:name w:val="Balloon Text"/>
    <w:basedOn w:val="Normal"/>
    <w:qFormat/>
    <w:pPr>
      <w:spacing w:lineRule="exact" w:line="240" w:before="0" w:after="0"/>
    </w:pPr>
    <w:rPr>
      <w:rFonts w:ascii="Tahoma" w:hAnsi="Tahoma" w:eastAsia="Times New Roman" w:cs="Tahoma"/>
      <w:sz w:val="16"/>
      <w:szCs w:val="16"/>
      <w:lang w:eastAsia="pl-PL"/>
    </w:rPr>
  </w:style>
  <w:style w:type="paragraph" w:styleId="annotationsubject">
    <w:name w:val="annotation subject"/>
    <w:qFormat/>
    <w:pPr>
      <w:widowControl w:val="false"/>
      <w:suppressAutoHyphens w:val="true"/>
      <w:bidi w:val="0"/>
      <w:spacing w:lineRule="exact" w:line="240" w:before="0" w:after="0"/>
      <w:jc w:val="left"/>
    </w:pPr>
    <w:rPr>
      <w:rFonts w:ascii="Times New Roman" w:hAnsi="Times New Roman" w:eastAsia="Times New Roman" w:cs="Times New Roman"/>
      <w:b/>
      <w:bCs/>
      <w:color w:val="auto"/>
      <w:kern w:val="0"/>
      <w:sz w:val="20"/>
      <w:szCs w:val="20"/>
      <w:lang w:val="pl-PL" w:eastAsia="pl-PL" w:bidi="hi-IN"/>
    </w:rPr>
  </w:style>
  <w:style w:type="paragraph" w:styleId="PlainText">
    <w:name w:val="Plain Text"/>
    <w:basedOn w:val="Normal"/>
    <w:qFormat/>
    <w:pPr>
      <w:spacing w:lineRule="exact" w:line="240" w:before="0" w:after="0"/>
    </w:pPr>
    <w:rPr>
      <w:rFonts w:ascii="Courier New" w:hAnsi="Courier New" w:eastAsia="Times New Roman" w:cs="Times New Roman"/>
      <w:sz w:val="20"/>
      <w:szCs w:val="20"/>
      <w:lang w:val="x-none" w:eastAsia="x-none"/>
    </w:rPr>
  </w:style>
  <w:style w:type="paragraph" w:styleId="BlockText">
    <w:name w:val="Block Text"/>
    <w:basedOn w:val="Normal"/>
    <w:qFormat/>
    <w:pPr>
      <w:tabs>
        <w:tab w:val="clear" w:pos="708"/>
        <w:tab w:val="left" w:pos="709" w:leader="none"/>
      </w:tabs>
      <w:spacing w:lineRule="exact" w:line="240" w:before="0" w:after="0"/>
      <w:ind w:hanging="0" w:left="720" w:right="-3"/>
      <w:jc w:val="both"/>
    </w:pPr>
    <w:rPr>
      <w:rFonts w:ascii="Times New Roman" w:hAnsi="Times New Roman" w:eastAsia="Times New Roman" w:cs="Times New Roman"/>
      <w:b/>
      <w:color w:val="000000"/>
      <w:lang w:eastAsia="pl-PL"/>
    </w:rPr>
  </w:style>
  <w:style w:type="paragraph" w:styleId="BodyTextIndent3">
    <w:name w:val="Body Text Indent 3"/>
    <w:basedOn w:val="Normal"/>
    <w:qFormat/>
    <w:pPr>
      <w:spacing w:lineRule="exact" w:line="240" w:before="0" w:after="0"/>
      <w:ind w:firstLine="426" w:left="0" w:right="0"/>
      <w:jc w:val="both"/>
    </w:pPr>
    <w:rPr>
      <w:rFonts w:ascii="Times New Roman" w:hAnsi="Times New Roman" w:eastAsia="Times New Roman" w:cs="Times New Roman"/>
      <w:szCs w:val="20"/>
      <w:lang w:eastAsia="pl-PL"/>
    </w:rPr>
  </w:style>
  <w:style w:type="paragraph" w:styleId="BodyTextIndent2">
    <w:name w:val="Body Text Indent 2"/>
    <w:basedOn w:val="Normal"/>
    <w:qFormat/>
    <w:pPr>
      <w:spacing w:lineRule="exact" w:line="240" w:before="0" w:after="0"/>
      <w:ind w:hanging="0" w:left="708" w:right="0"/>
      <w:jc w:val="both"/>
    </w:pPr>
    <w:rPr>
      <w:rFonts w:ascii="Times New Roman" w:hAnsi="Times New Roman" w:eastAsia="Times New Roman" w:cs="Times New Roman"/>
      <w:szCs w:val="20"/>
      <w:lang w:eastAsia="pl-PL"/>
    </w:rPr>
  </w:style>
  <w:style w:type="paragraph" w:styleId="BodyText3">
    <w:name w:val="Body Text 3"/>
    <w:basedOn w:val="Normal"/>
    <w:qFormat/>
    <w:pPr>
      <w:spacing w:lineRule="exact" w:line="240" w:before="0" w:after="0"/>
      <w:jc w:val="both"/>
    </w:pPr>
    <w:rPr>
      <w:rFonts w:ascii="Times New Roman" w:hAnsi="Times New Roman" w:eastAsia="Times New Roman" w:cs="Times New Roman"/>
      <w:szCs w:val="20"/>
      <w:lang w:eastAsia="pl-PL"/>
    </w:rPr>
  </w:style>
  <w:style w:type="paragraph" w:styleId="BodyText2">
    <w:name w:val="Body Text 2"/>
    <w:basedOn w:val="Normal"/>
    <w:qFormat/>
    <w:pPr>
      <w:tabs>
        <w:tab w:val="clear" w:pos="708"/>
        <w:tab w:val="left" w:pos="993" w:leader="none"/>
      </w:tabs>
      <w:spacing w:lineRule="exact" w:line="240" w:before="0" w:after="0"/>
      <w:jc w:val="both"/>
    </w:pPr>
    <w:rPr>
      <w:rFonts w:ascii="Ottawa" w:hAnsi="Ottawa" w:eastAsia="Times New Roman" w:cs="Times New Roman"/>
      <w:szCs w:val="20"/>
      <w:lang w:eastAsia="pl-PL"/>
    </w:rPr>
  </w:style>
  <w:style w:type="paragraph" w:styleId="CommentText">
    <w:name w:val="annotation text"/>
    <w:basedOn w:val="Normal"/>
    <w:qFormat/>
    <w:pPr>
      <w:spacing w:lineRule="exact" w:line="240" w:before="0" w:after="0"/>
    </w:pPr>
    <w:rPr>
      <w:rFonts w:ascii="Times New Roman" w:hAnsi="Times New Roman" w:eastAsia="Times New Roman" w:cs="Times New Roman"/>
      <w:sz w:val="20"/>
      <w:szCs w:val="20"/>
      <w:lang w:eastAsia="pl-PL"/>
    </w:rPr>
  </w:style>
  <w:style w:type="paragraph" w:styleId="NormalWeb">
    <w:name w:val="Normal (Web)"/>
    <w:basedOn w:val="Normal"/>
    <w:qFormat/>
    <w:pPr>
      <w:spacing w:lineRule="exact" w:line="240" w:before="100" w:after="100"/>
    </w:pPr>
    <w:rPr>
      <w:rFonts w:ascii="Times New Roman" w:hAnsi="Times New Roman" w:eastAsia="Times New Roman" w:cs="Times New Roman"/>
      <w:lang w:eastAsia="pl-PL"/>
    </w:rPr>
  </w:style>
  <w:style w:type="paragraph" w:styleId="msonormal">
    <w:name w:val="msonormal"/>
    <w:basedOn w:val="Normal"/>
    <w:qFormat/>
    <w:pPr>
      <w:spacing w:lineRule="exact" w:line="240" w:before="100" w:after="100"/>
    </w:pPr>
    <w:rPr>
      <w:rFonts w:ascii="Times New Roman" w:hAnsi="Times New Roman" w:eastAsia="Times New Roman" w:cs="Times New Roman"/>
      <w:lang w:eastAsia="pl-PL"/>
    </w:rPr>
  </w:style>
  <w:style w:type="paragraph" w:styleId="HTMLPreformatted">
    <w:name w:val="HTML Preformatted"/>
    <w:basedOn w:val="Normal"/>
    <w:qFormat/>
    <w:p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exact" w:line="240" w:before="0" w:after="0"/>
    </w:pPr>
    <w:rPr>
      <w:rFonts w:ascii="Courier New" w:hAnsi="Courier New" w:eastAsia="Times New Roman" w:cs="Courier New"/>
      <w:sz w:val="20"/>
      <w:szCs w:val="20"/>
      <w:lang w:eastAsia="pl-PL"/>
    </w:rPr>
  </w:style>
  <w:style w:type="paragraph" w:styleId="Standard1">
    <w:name w:val="Standard1"/>
    <w:qFormat/>
    <w:pPr>
      <w:widowControl w:val="false"/>
      <w:suppressAutoHyphens w:val="true"/>
      <w:overflowPunct w:val="false"/>
      <w:bidi w:val="0"/>
      <w:spacing w:lineRule="auto" w:line="240" w:before="0" w:after="0"/>
      <w:jc w:val="left"/>
      <w:textAlignment w:val="baseline"/>
    </w:pPr>
    <w:rPr>
      <w:rFonts w:ascii="Times New Roman" w:hAnsi="Times New Roman" w:eastAsia="SimSun" w:cs="Mangal"/>
      <w:color w:val="auto"/>
      <w:kern w:val="2"/>
      <w:sz w:val="24"/>
      <w:szCs w:val="24"/>
      <w:lang w:val="pl-PL" w:eastAsia="zh-CN" w:bidi="ar-SA"/>
    </w:rPr>
  </w:style>
  <w:style w:type="paragraph" w:styleId="Standard2">
    <w:name w:val="Standard2"/>
    <w:qFormat/>
    <w:pPr>
      <w:widowControl w:val="false"/>
      <w:suppressAutoHyphens w:val="true"/>
      <w:overflowPunct w:val="true"/>
      <w:bidi w:val="0"/>
      <w:spacing w:lineRule="auto" w:line="240" w:before="0" w:after="0"/>
      <w:jc w:val="left"/>
      <w:textAlignment w:val="baseline"/>
    </w:pPr>
    <w:rPr>
      <w:rFonts w:ascii="Times New Roman" w:hAnsi="Times New Roman" w:eastAsia="SimSun" w:cs="Mangal"/>
      <w:color w:val="auto"/>
      <w:kern w:val="2"/>
      <w:sz w:val="24"/>
      <w:szCs w:val="24"/>
      <w:lang w:val="pl-PL" w:eastAsia="zh-CN" w:bidi="ar-SA"/>
    </w:rPr>
  </w:style>
  <w:style w:type="paragraph" w:styleId="Zawartotabeli">
    <w:name w:val="Zawartość tabeli"/>
    <w:basedOn w:val="Normal"/>
    <w:qFormat/>
    <w:pPr>
      <w:widowControl w:val="false"/>
      <w:suppressLineNumbers/>
    </w:pP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zaopatrzenie@szpital-srem.pl" TargetMode="External"/><Relationship Id="rId4" Type="http://schemas.openxmlformats.org/officeDocument/2006/relationships/hyperlink" Target="https://szpital-srem.pl/" TargetMode="External"/><Relationship Id="rId5" Type="http://schemas.openxmlformats.org/officeDocument/2006/relationships/hyperlink" Target="https://ezamowienia.gov.pl/pl/" TargetMode="External"/><Relationship Id="rId6" Type="http://schemas.openxmlformats.org/officeDocument/2006/relationships/hyperlink" Target="https://ezamowienia.gov.pl/pl/" TargetMode="External"/><Relationship Id="rId7" Type="http://schemas.openxmlformats.org/officeDocument/2006/relationships/hyperlink" Target="https://ezamowienia.gov.pl/pl/komponent-edukacyjny/" TargetMode="External"/><Relationship Id="rId8" Type="http://schemas.openxmlformats.org/officeDocument/2006/relationships/hyperlink" Target="mailto:zaopatrzenie@szpital-srem.pl"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oter" Target="foot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2.jpeg"/>
</Relationships>
</file>

<file path=word/_rels/header3.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5375</TotalTime>
  <Application>LibreOffice/26.2.1.2$Windows_X86_64 LibreOffice_project/620$Build-2</Application>
  <AppVersion>15.0000</AppVersion>
  <Pages>24</Pages>
  <Words>11259</Words>
  <Characters>73104</Characters>
  <CharactersWithSpaces>84734</CharactersWithSpaces>
  <Paragraphs>441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2026-04-02T07:56:00Z</dcterms:created>
  <dc:creator>SPSP DZIERŻONIÓW</dc:creator>
  <dc:description/>
  <dc:language>pl-PL</dc:language>
  <cp:lastModifiedBy/>
  <cp:lastPrinted>2026-04-13T07:44:31Z</cp:lastPrinted>
  <dcterms:modified xsi:type="dcterms:W3CDTF">2026-04-13T10:59:07Z</dcterms:modified>
  <cp:revision>469</cp:revision>
  <dc:subject/>
  <dc:title>Do</dc:title>
</cp:coreProperties>
</file>

<file path=docProps/custom.xml><?xml version="1.0" encoding="utf-8"?>
<Properties xmlns="http://schemas.openxmlformats.org/officeDocument/2006/custom-properties" xmlns:vt="http://schemas.openxmlformats.org/officeDocument/2006/docPropsVTypes"/>
</file>